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06A1A122" w:rsidR="00A42E48" w:rsidRDefault="00000000">
      <w:pPr>
        <w:pBdr>
          <w:top w:val="nil"/>
          <w:left w:val="nil"/>
          <w:bottom w:val="nil"/>
          <w:right w:val="nil"/>
          <w:between w:val="nil"/>
        </w:pBdr>
        <w:jc w:val="center"/>
        <w:rPr>
          <w:b/>
          <w:bCs/>
          <w:smallCaps/>
          <w:color w:val="000000"/>
          <w:sz w:val="28"/>
          <w:szCs w:val="28"/>
        </w:rPr>
      </w:pPr>
      <w:r>
        <w:rPr>
          <w:b/>
          <w:bCs/>
          <w:smallCaps/>
          <w:color w:val="000000"/>
          <w:sz w:val="28"/>
          <w:szCs w:val="28"/>
        </w:rPr>
        <w:t xml:space="preserve">2025 CHAIRMAN’S STATEMENT OF THE </w:t>
      </w:r>
      <w:r w:rsidR="004F04F1">
        <w:rPr>
          <w:b/>
          <w:bCs/>
          <w:smallCaps/>
          <w:color w:val="000000"/>
          <w:sz w:val="28"/>
          <w:szCs w:val="28"/>
        </w:rPr>
        <w:br/>
      </w:r>
      <w:r>
        <w:rPr>
          <w:b/>
          <w:bCs/>
          <w:smallCaps/>
          <w:color w:val="000000"/>
          <w:sz w:val="28"/>
          <w:szCs w:val="28"/>
        </w:rPr>
        <w:t>26TH ASEAN-REPUBLIC OF KOREA SUMMIT</w:t>
      </w:r>
    </w:p>
    <w:p w14:paraId="00000002" w14:textId="77ED7B82" w:rsidR="00A42E48" w:rsidRDefault="004F04F1">
      <w:pPr>
        <w:pBdr>
          <w:top w:val="nil"/>
          <w:left w:val="nil"/>
          <w:bottom w:val="nil"/>
          <w:right w:val="nil"/>
          <w:between w:val="nil"/>
        </w:pBdr>
        <w:jc w:val="center"/>
        <w:rPr>
          <w:i/>
          <w:iCs/>
          <w:color w:val="000000"/>
        </w:rPr>
      </w:pPr>
      <w:bookmarkStart w:id="0" w:name="_heading=h.h16o38egfgp1" w:colFirst="0" w:colLast="0"/>
      <w:bookmarkEnd w:id="0"/>
      <w:r>
        <w:rPr>
          <w:i/>
          <w:iCs/>
          <w:color w:val="000000"/>
        </w:rPr>
        <w:t>Issued</w:t>
      </w:r>
      <w:r w:rsidR="00000000">
        <w:rPr>
          <w:i/>
          <w:iCs/>
          <w:color w:val="000000"/>
        </w:rPr>
        <w:t xml:space="preserve"> in Kuala Lumpur, Malaysia on 27 October 2025</w:t>
      </w:r>
    </w:p>
    <w:p w14:paraId="00000003" w14:textId="77777777" w:rsidR="00A42E48" w:rsidRDefault="00A42E48">
      <w:pPr>
        <w:pBdr>
          <w:top w:val="nil"/>
          <w:left w:val="nil"/>
          <w:bottom w:val="nil"/>
          <w:right w:val="nil"/>
          <w:between w:val="nil"/>
        </w:pBdr>
        <w:jc w:val="center"/>
        <w:rPr>
          <w:i/>
          <w:iCs/>
          <w:color w:val="000000"/>
        </w:rPr>
      </w:pPr>
    </w:p>
    <w:p w14:paraId="00000004" w14:textId="77777777" w:rsidR="00A42E48" w:rsidRDefault="00000000">
      <w:pPr>
        <w:numPr>
          <w:ilvl w:val="0"/>
          <w:numId w:val="1"/>
        </w:numPr>
        <w:spacing w:before="0" w:after="9" w:line="271" w:lineRule="auto"/>
      </w:pPr>
      <w:r>
        <w:t>The 26</w:t>
      </w:r>
      <w:r>
        <w:rPr>
          <w:vertAlign w:val="superscript"/>
        </w:rPr>
        <w:t>th</w:t>
      </w:r>
      <w:r>
        <w:t xml:space="preserve"> ASEAN-Republic of Korea (ROK) Summit was held in Kuala Lumpur, Malaysia on 27 October 2025. The Summit was chaired by the </w:t>
      </w:r>
      <w:proofErr w:type="spellStart"/>
      <w:r>
        <w:t>Honourable</w:t>
      </w:r>
      <w:proofErr w:type="spellEnd"/>
      <w:r>
        <w:t xml:space="preserve"> Dato’ Seri Anwar Ibrahim, Prime Minister of Malaysia and the Chair of ASEAN. The Summit was attended by ASEAN Member States and H.E. Lee Jae Myung, President of the Republic of Korea. The Secretary-General of ASEAN was also in attendance. </w:t>
      </w:r>
    </w:p>
    <w:p w14:paraId="00000005" w14:textId="77777777" w:rsidR="00A42E48" w:rsidRDefault="00A42E48">
      <w:pPr>
        <w:spacing w:before="0" w:after="9" w:line="271" w:lineRule="auto"/>
        <w:ind w:left="720"/>
      </w:pPr>
    </w:p>
    <w:p w14:paraId="00000006" w14:textId="77777777" w:rsidR="00A42E48" w:rsidRDefault="00000000">
      <w:pPr>
        <w:numPr>
          <w:ilvl w:val="0"/>
          <w:numId w:val="1"/>
        </w:numPr>
        <w:spacing w:before="0" w:after="9" w:line="271" w:lineRule="auto"/>
      </w:pPr>
      <w:r>
        <w:t xml:space="preserve">We reiterated our support for Malaysia’s ASEAN Chairmanship under the theme “Inclusivity and Sustainability,” reaffirming our shared commitment towards strengthening regional peace, stability, and prosperity through inclusive, sustainable, and future-oriented ASEAN Community-building efforts. </w:t>
      </w:r>
    </w:p>
    <w:p w14:paraId="00000007" w14:textId="77777777" w:rsidR="00A42E48" w:rsidRDefault="00A42E48">
      <w:pPr>
        <w:spacing w:before="0" w:after="9" w:line="271" w:lineRule="auto"/>
        <w:ind w:left="720"/>
      </w:pPr>
    </w:p>
    <w:p w14:paraId="00000008" w14:textId="77777777" w:rsidR="00A42E48" w:rsidRDefault="00000000">
      <w:pPr>
        <w:numPr>
          <w:ilvl w:val="0"/>
          <w:numId w:val="1"/>
        </w:numPr>
        <w:spacing w:before="0" w:after="46" w:line="271" w:lineRule="auto"/>
      </w:pPr>
      <w:r>
        <w:t xml:space="preserve">We welcomed the ROK’s continued support for Timor-Leste and encouraged the continuation of capacity-building </w:t>
      </w:r>
      <w:proofErr w:type="spellStart"/>
      <w:r>
        <w:t>programmes</w:t>
      </w:r>
      <w:proofErr w:type="spellEnd"/>
      <w:r>
        <w:t xml:space="preserve"> and initiatives to assist Timor-Leste’s post-admission efforts in implementing the Roadmap for Timor-</w:t>
      </w:r>
      <w:proofErr w:type="gramStart"/>
      <w:r>
        <w:t>Leste‘</w:t>
      </w:r>
      <w:proofErr w:type="gramEnd"/>
      <w:r>
        <w:t xml:space="preserve">s Full Membership in ASEAN. </w:t>
      </w:r>
    </w:p>
    <w:p w14:paraId="00000009" w14:textId="77777777" w:rsidR="00A42E48" w:rsidRDefault="00A42E48">
      <w:pPr>
        <w:spacing w:before="0" w:after="46" w:line="271" w:lineRule="auto"/>
        <w:ind w:left="720"/>
      </w:pPr>
    </w:p>
    <w:p w14:paraId="0000000A" w14:textId="77777777" w:rsidR="00A42E48" w:rsidRDefault="00000000">
      <w:pPr>
        <w:numPr>
          <w:ilvl w:val="0"/>
          <w:numId w:val="1"/>
        </w:numPr>
        <w:spacing w:before="0" w:after="9" w:line="271" w:lineRule="auto"/>
      </w:pPr>
      <w:r>
        <w:t>We reaffirmed our commitment to advancing the ASEAN-ROK Comprehensive Strategic Partnership (CSP) that is meaningful, substantive and mutually beneficial in support of ASEAN Community building in alignment with the ASEAN 2045: Our Shared Future. We noted with satisfaction the substantive progress in the implementation of the Plan of Action to Implement the Joint Vision Statement for Peace, Prosperity and Partnership (2021-2025). We welcomed the adoption of the ASEAN-ROK Plan of Action to Implement the ASEAN-ROK CSP (2026-2030) at the ASEAN Post-Ministerial Conference with the ROK in July 2025 and looked forward to the effective implementation of the new POA. The ROK also expressed its intention to host an ASEAN-ROK Commemorative Summit in 2029.</w:t>
      </w:r>
      <w:r>
        <w:rPr>
          <w:b/>
          <w:bCs/>
        </w:rPr>
        <w:t xml:space="preserve"> </w:t>
      </w:r>
      <w:r>
        <w:rPr>
          <w:b/>
          <w:bCs/>
          <w:color w:val="0070C0"/>
        </w:rPr>
        <w:t xml:space="preserve"> </w:t>
      </w:r>
      <w:r>
        <w:t xml:space="preserve"> </w:t>
      </w:r>
    </w:p>
    <w:p w14:paraId="0000000B" w14:textId="77777777" w:rsidR="00A42E48" w:rsidRDefault="00A42E48">
      <w:pPr>
        <w:spacing w:before="0" w:after="9" w:line="271" w:lineRule="auto"/>
        <w:ind w:left="720"/>
      </w:pPr>
    </w:p>
    <w:p w14:paraId="0000000C" w14:textId="77777777" w:rsidR="00A42E48" w:rsidRDefault="00000000">
      <w:pPr>
        <w:numPr>
          <w:ilvl w:val="0"/>
          <w:numId w:val="1"/>
        </w:numPr>
        <w:spacing w:before="0" w:after="9" w:line="271" w:lineRule="auto"/>
      </w:pPr>
      <w:r>
        <w:t>We underscored the importance of upholding ASEAN Centrality in the evolving regional architecture and reiterated our commitment to supporting an ASEAN-</w:t>
      </w:r>
      <w:proofErr w:type="spellStart"/>
      <w:r>
        <w:t>centred</w:t>
      </w:r>
      <w:proofErr w:type="spellEnd"/>
      <w:r>
        <w:t xml:space="preserve"> regional architecture that is open, transparent, inclusive, resilient, and rules-based, that upholds international law and built upon ASEAN-led mechanisms. We appreciated the ROK’s support for the ASEAN Outlook on the Indo-Pacific (AOIP) and encouraged the ROK to implement the four priority areas of the AOIP through concrete projects and activities, in line with the Joint Statement of the 24</w:t>
      </w:r>
      <w:r>
        <w:rPr>
          <w:vertAlign w:val="superscript"/>
        </w:rPr>
        <w:t>th</w:t>
      </w:r>
      <w:r>
        <w:t xml:space="preserve"> ASEAN-ROK Summit on Cooperation on the AOIP. </w:t>
      </w:r>
    </w:p>
    <w:p w14:paraId="0000000D" w14:textId="77777777" w:rsidR="00A42E48" w:rsidRDefault="00A42E48">
      <w:pPr>
        <w:spacing w:before="0" w:after="9" w:line="271" w:lineRule="auto"/>
        <w:ind w:left="720"/>
      </w:pPr>
    </w:p>
    <w:p w14:paraId="0000000E" w14:textId="77777777" w:rsidR="00A42E48" w:rsidRDefault="00000000">
      <w:pPr>
        <w:numPr>
          <w:ilvl w:val="0"/>
          <w:numId w:val="1"/>
        </w:numPr>
        <w:spacing w:before="0" w:after="9" w:line="271" w:lineRule="auto"/>
      </w:pPr>
      <w:r>
        <w:t xml:space="preserve">We appreciated the ROK’s contribution to ASEAN-related cooperation funds to support cooperation projects, including the ASEAN-ROK Cooperation Fund (AKCF), and looked forward to active, inclusive and effective implementation of further cooperation projects and initiatives. </w:t>
      </w:r>
    </w:p>
    <w:p w14:paraId="0000000F" w14:textId="77777777" w:rsidR="00A42E48" w:rsidRDefault="00A42E48">
      <w:pPr>
        <w:spacing w:before="0" w:after="9" w:line="271" w:lineRule="auto"/>
        <w:ind w:left="720"/>
      </w:pPr>
    </w:p>
    <w:p w14:paraId="00000010" w14:textId="77777777" w:rsidR="00A42E48" w:rsidRDefault="00000000">
      <w:pPr>
        <w:numPr>
          <w:ilvl w:val="0"/>
          <w:numId w:val="1"/>
        </w:numPr>
        <w:spacing w:before="0" w:after="9" w:line="271" w:lineRule="auto"/>
      </w:pPr>
      <w:r>
        <w:t xml:space="preserve">We reaffirmed our commitment to further strengthening cooperation in addressing non-traditional security challenges, including transnational crime, cybersecurity, and maritime security, through ASEAN-led mechanisms. We encouraged the ROK to continue supporting ASEAN’s efforts to enhance regional cybersecurity resilience and combat escalating threats of cybercrime and online scams, including through projects such as the ASEAN Cyber Shield Project (ACS), ASEAN Regional Computer Emergency Response Team (CERT) and capacity building </w:t>
      </w:r>
      <w:proofErr w:type="spellStart"/>
      <w:r>
        <w:t>centres</w:t>
      </w:r>
      <w:proofErr w:type="spellEnd"/>
      <w:r>
        <w:t xml:space="preserve"> in the region such as the ASEAN-Singapore Cybersecurity Centre of </w:t>
      </w:r>
      <w:r>
        <w:lastRenderedPageBreak/>
        <w:t xml:space="preserve">Excellence (ASCCE). We looked forward to collaboration in building secure and transparent anti-money laundering frameworks through capacity building for responding to cryptocurrency heist. We acknowledged the ROK’s support to the ASEAN law enforcement cooperation through the ASEAN Plus ROK Ministerial Meeting on Transnational Crime (AMMTC+ROK) Consultation and welcomed the development of the ASEAN Guideline on Strengthening Capacities of Regional Practitioners in Crime Scene Investigation (CSI), which contributed to the implementation of the SOMTC-ROK Work Plan for Cooperation to Prevent and Combat Transnational Crime (2019-2025). We welcomed the adoption of the SOMTC+ROK Work Plan on Cooperation to Combat Transnational Crime (2026-2028) and looked forward to its full and effective implementation. We also reaffirmed the shared commitment to strengthening cooperation in combatting illicit drugs, particularly under the framework of ASEAN Plus ROK Senior Officials Meeting on Drug Matters (ASOD+ROK) Consultation. We also appreciated the ROK’s active participation and contributions to ASEAN-led mechanisms, such as the ASEAN Regional Forum (ARF) meetings and its Track I initiatives, as well as the Expanded ASEAN Maritime Forum (EAMF). We looked forward to exploring potential cooperation in enhancing capacities in maritime law enforcement, maritime search and rescue, and marine environment protection through tailored training </w:t>
      </w:r>
      <w:proofErr w:type="spellStart"/>
      <w:r>
        <w:t>programmes</w:t>
      </w:r>
      <w:proofErr w:type="spellEnd"/>
      <w:r>
        <w:t xml:space="preserve">.  </w:t>
      </w:r>
    </w:p>
    <w:p w14:paraId="00000011" w14:textId="77777777" w:rsidR="00A42E48" w:rsidRDefault="00A42E48">
      <w:pPr>
        <w:spacing w:before="0" w:after="9" w:line="271" w:lineRule="auto"/>
        <w:ind w:left="720"/>
      </w:pPr>
    </w:p>
    <w:p w14:paraId="00000012" w14:textId="77777777" w:rsidR="00A42E48" w:rsidRDefault="00000000">
      <w:pPr>
        <w:numPr>
          <w:ilvl w:val="0"/>
          <w:numId w:val="1"/>
        </w:numPr>
        <w:spacing w:before="0" w:after="37" w:line="271" w:lineRule="auto"/>
      </w:pPr>
      <w:r>
        <w:t xml:space="preserve">We welcomed the enhanced </w:t>
      </w:r>
      <w:proofErr w:type="spellStart"/>
      <w:r>
        <w:t>defence</w:t>
      </w:r>
      <w:proofErr w:type="spellEnd"/>
      <w:r>
        <w:t xml:space="preserve"> cooperation between ASEAN and the ROK through the ASEAN </w:t>
      </w:r>
      <w:proofErr w:type="spellStart"/>
      <w:r>
        <w:t>Defence</w:t>
      </w:r>
      <w:proofErr w:type="spellEnd"/>
      <w:r>
        <w:t xml:space="preserve"> Ministers’ Meeting-Plus (ADMM-Plus). We also acknowledged the ROK’s commitment to complementing the ADMM-</w:t>
      </w:r>
      <w:proofErr w:type="spellStart"/>
      <w:r>
        <w:t>Plus’</w:t>
      </w:r>
      <w:proofErr w:type="spellEnd"/>
      <w:r>
        <w:t xml:space="preserve"> efforts, through the ROK’s Action Plan for the ROK-ASEAN Defense Cooperation. We appreciated the ROK’s support for the ASEAN Regional Mine Action Center (ARMAC) through its multi-year project, Enhance Victim Assistance </w:t>
      </w:r>
      <w:proofErr w:type="spellStart"/>
      <w:r>
        <w:t>Programme</w:t>
      </w:r>
      <w:proofErr w:type="spellEnd"/>
      <w:r>
        <w:t xml:space="preserve"> in the ASEAN Member States. </w:t>
      </w:r>
    </w:p>
    <w:p w14:paraId="00000013" w14:textId="77777777" w:rsidR="00A42E48" w:rsidRDefault="00A42E48">
      <w:pPr>
        <w:spacing w:before="0" w:after="37" w:line="271" w:lineRule="auto"/>
        <w:ind w:left="720"/>
      </w:pPr>
    </w:p>
    <w:p w14:paraId="00000014" w14:textId="77777777" w:rsidR="00A42E48" w:rsidRDefault="00000000">
      <w:pPr>
        <w:numPr>
          <w:ilvl w:val="0"/>
          <w:numId w:val="1"/>
        </w:numPr>
        <w:spacing w:before="0" w:after="9" w:line="271" w:lineRule="auto"/>
      </w:pPr>
      <w:r>
        <w:t>We welcomed the 30</w:t>
      </w:r>
      <w:r>
        <w:rPr>
          <w:vertAlign w:val="superscript"/>
        </w:rPr>
        <w:t>th</w:t>
      </w:r>
      <w:r>
        <w:t xml:space="preserve"> anniversary of the signing of the Treaty on the Southeast Asia </w:t>
      </w:r>
      <w:proofErr w:type="gramStart"/>
      <w:r>
        <w:t>Nuclear Weapon</w:t>
      </w:r>
      <w:proofErr w:type="gramEnd"/>
      <w:r>
        <w:t xml:space="preserve">-Free Zone (SEANWFZ). We reiterated our commitment to preserve the Southeast Asian region as a </w:t>
      </w:r>
      <w:proofErr w:type="gramStart"/>
      <w:r>
        <w:t>Nuclear Weapon</w:t>
      </w:r>
      <w:proofErr w:type="gramEnd"/>
      <w:r>
        <w:t xml:space="preserve">-Free Zone (NWFZ) and free of all other weapons of mass destruction as enshrined in the ASEAN Charter and the SEANWFZ Treaty. We stressed the importance of the full and effective implementation of the SEANWFZ Treaty, including through the Plan of Action to Strengthen the Implementation of SEANWFZ Treaty (2023– 2027). We looked forward to enhancing nuclear and radiation safety through collaboration with the ASEAN Centre for Energy.  </w:t>
      </w:r>
    </w:p>
    <w:p w14:paraId="00000015" w14:textId="77777777" w:rsidR="00A42E48" w:rsidRDefault="00A42E48">
      <w:pPr>
        <w:spacing w:before="0" w:after="9" w:line="271" w:lineRule="auto"/>
        <w:ind w:left="720"/>
      </w:pPr>
    </w:p>
    <w:p w14:paraId="00000016" w14:textId="77777777" w:rsidR="00A42E48" w:rsidRDefault="00000000">
      <w:pPr>
        <w:numPr>
          <w:ilvl w:val="0"/>
          <w:numId w:val="1"/>
        </w:numPr>
        <w:spacing w:before="0" w:after="9" w:line="271" w:lineRule="auto"/>
      </w:pPr>
      <w:r>
        <w:t xml:space="preserve">We welcomed the inaugural Interface Meeting between the ASEAN Intergovernmental Commission on Human Rights (AICHR) and the ROK held in May 2025 for sharing perspectives on human rights. We looked forward to exploring areas for potential cooperation to promote and protect human rights in the region. </w:t>
      </w:r>
    </w:p>
    <w:p w14:paraId="00000017" w14:textId="77777777" w:rsidR="00A42E48" w:rsidRDefault="00A42E48">
      <w:pPr>
        <w:spacing w:before="0" w:after="9" w:line="271" w:lineRule="auto"/>
        <w:ind w:left="720"/>
      </w:pPr>
    </w:p>
    <w:p w14:paraId="00000018" w14:textId="77777777" w:rsidR="00A42E48" w:rsidRDefault="00000000">
      <w:pPr>
        <w:numPr>
          <w:ilvl w:val="0"/>
          <w:numId w:val="1"/>
        </w:numPr>
        <w:spacing w:before="0" w:after="9" w:line="271" w:lineRule="auto"/>
      </w:pPr>
      <w:r>
        <w:t xml:space="preserve">We acknowledged with satisfaction the continued momentum of the ASEANROK economic cooperation. The ROK was ASEAN’s fifth largest trading partner and seventh largest source of Foreign Direct Investment (FDI) in 2024, as two-way merchandise trade between ASEAN and the ROK reached </w:t>
      </w:r>
      <w:r>
        <w:rPr>
          <w:sz w:val="23"/>
          <w:szCs w:val="23"/>
        </w:rPr>
        <w:t>USD</w:t>
      </w:r>
      <w:r>
        <w:t>208.2 billion, an increase of 5.9 per cent from 2023,</w:t>
      </w:r>
      <w:r>
        <w:rPr>
          <w:vertAlign w:val="superscript"/>
        </w:rPr>
        <w:footnoteReference w:id="1"/>
      </w:r>
      <w:r>
        <w:t xml:space="preserve"> while the FDI inflow from the ROK to ASEAN amounted to USD7.6 billion. </w:t>
      </w:r>
    </w:p>
    <w:p w14:paraId="00000019" w14:textId="77777777" w:rsidR="00A42E48" w:rsidRDefault="00A42E48">
      <w:pPr>
        <w:spacing w:before="0" w:after="9" w:line="271" w:lineRule="auto"/>
        <w:ind w:left="720"/>
      </w:pPr>
    </w:p>
    <w:p w14:paraId="0000001A" w14:textId="77777777" w:rsidR="00A42E48" w:rsidRDefault="00000000">
      <w:pPr>
        <w:numPr>
          <w:ilvl w:val="0"/>
          <w:numId w:val="1"/>
        </w:numPr>
        <w:spacing w:before="0" w:after="9" w:line="271" w:lineRule="auto"/>
      </w:pPr>
      <w:r>
        <w:t xml:space="preserve">We reaffirmed our support for the rules-based multilateral trading system, with the World Trade Organization (WTO) at its core, ensuring a predictable, transparent, free, fair, inclusive, sustainable, non-discriminatory, and open trade and investment environment, and our commitment for necessary reform of the WTO including having a fully functioning dispute settlement system. We </w:t>
      </w:r>
      <w:proofErr w:type="spellStart"/>
      <w:r>
        <w:t>emphasised</w:t>
      </w:r>
      <w:proofErr w:type="spellEnd"/>
      <w:r>
        <w:t xml:space="preserve"> the importance of strengthening trade and investment linkages, as well as broader and more inclusive economic cooperation between ASEAN and </w:t>
      </w:r>
      <w:r>
        <w:lastRenderedPageBreak/>
        <w:t xml:space="preserve">the ROK, through the effective implementation and </w:t>
      </w:r>
      <w:proofErr w:type="spellStart"/>
      <w:r>
        <w:t>utilisation</w:t>
      </w:r>
      <w:proofErr w:type="spellEnd"/>
      <w:r>
        <w:t xml:space="preserve"> of the ASEAN-Korea Free Trade Area (AKFTA) and Regional Comprehensive Economic Partnership (RCEP) Agreement. We also looked forward to reviewing the RCEP Agreement and expanding the membership of RCEP, which will further strengthen </w:t>
      </w:r>
      <w:proofErr w:type="gramStart"/>
      <w:r>
        <w:t>the RCEP’s</w:t>
      </w:r>
      <w:proofErr w:type="gramEnd"/>
      <w:r>
        <w:t xml:space="preserve"> role in promoting open, inclusive, and mutually beneficial economic cooperation across the region.  </w:t>
      </w:r>
    </w:p>
    <w:p w14:paraId="0000001B" w14:textId="77777777" w:rsidR="00A42E48" w:rsidRDefault="00A42E48">
      <w:pPr>
        <w:spacing w:before="0" w:after="9" w:line="271" w:lineRule="auto"/>
        <w:ind w:left="720"/>
      </w:pPr>
    </w:p>
    <w:p w14:paraId="0000001C" w14:textId="77777777" w:rsidR="00A42E48" w:rsidRDefault="00000000">
      <w:pPr>
        <w:numPr>
          <w:ilvl w:val="0"/>
          <w:numId w:val="1"/>
        </w:numPr>
        <w:spacing w:before="0" w:after="9" w:line="271" w:lineRule="auto"/>
      </w:pPr>
      <w:r>
        <w:t xml:space="preserve">We noted the completion of the Joint Study on Digital Trade and Joint Study on Cooperation on New Trade Agendas, which will serve as references for the AKFTA upgrade. We also welcomed the endorsement of the Joint Scoping Paper (JSP) for the AKFTA Upgrade by the AEM-ROK Consultation on 23 October 2025. We are pleased to announce that ASEAN and the ROK have agreed to commence the AKFTA Upgrade Negotiations early next year, upon the completion of respective domestic procedures. The upgrade will aim to ensure that the AKFTA continues to be commercially meaningful and relevant to businesses, trade facilitative, modern, forward-looking, and responsive to regional and global developments. We commended ROK’s continued support for the realization of the electronic exchange of customs documents through the ASEAN-ROK electronic Certificate of Origin (e-CO) exchange platform, which contributes to ensuring a seamless implementation of the AKFTA by enhancing trade efficiency and competitiveness, as well as supporting the implementation of the ASEAN Single Window.  </w:t>
      </w:r>
    </w:p>
    <w:p w14:paraId="0000001D" w14:textId="77777777" w:rsidR="00A42E48" w:rsidRDefault="00A42E48">
      <w:pPr>
        <w:spacing w:before="0" w:after="9" w:line="271" w:lineRule="auto"/>
        <w:ind w:left="720"/>
      </w:pPr>
    </w:p>
    <w:p w14:paraId="0000001E" w14:textId="77777777" w:rsidR="00A42E48" w:rsidRDefault="00000000">
      <w:pPr>
        <w:numPr>
          <w:ilvl w:val="0"/>
          <w:numId w:val="1"/>
        </w:numPr>
        <w:spacing w:before="0" w:after="9" w:line="271" w:lineRule="auto"/>
      </w:pPr>
      <w:r>
        <w:t>We welcomed the successful convening of the 1</w:t>
      </w:r>
      <w:r>
        <w:rPr>
          <w:vertAlign w:val="superscript"/>
        </w:rPr>
        <w:t>st</w:t>
      </w:r>
      <w:r>
        <w:t xml:space="preserve"> ASEAN-ROK Think Tank Dialogue on Economic and Trade Policy Conference, held in Jeju in May following the ROK’s proposal to establish the Dialogue at the 25</w:t>
      </w:r>
      <w:r>
        <w:rPr>
          <w:vertAlign w:val="superscript"/>
        </w:rPr>
        <w:t>th</w:t>
      </w:r>
      <w:r>
        <w:t xml:space="preserve"> ASEAN-ROK Summit. We recognized that this Dialogue would contribute to the capacity of ASEAN Member States in economic and trade policy formulation and to the balanced development of the ASEAN region through joint studies, research, and in-person forums and seminars. We also welcomed the ROK’s proposal to establish the Trade Academy on ASEAN Public Officials, which will help strengthen the expertise and capabilities of ASEAN trade officials and foster sustainable partnerships between ASEAN and Korean trade officials.  </w:t>
      </w:r>
    </w:p>
    <w:p w14:paraId="0000001F" w14:textId="77777777" w:rsidR="00A42E48" w:rsidRDefault="00A42E48">
      <w:pPr>
        <w:spacing w:before="0" w:after="9" w:line="271" w:lineRule="auto"/>
        <w:ind w:left="720"/>
      </w:pPr>
    </w:p>
    <w:p w14:paraId="00000020" w14:textId="77777777" w:rsidR="00A42E48" w:rsidRDefault="00000000">
      <w:pPr>
        <w:numPr>
          <w:ilvl w:val="0"/>
          <w:numId w:val="1"/>
        </w:numPr>
        <w:spacing w:before="0" w:after="9" w:line="271" w:lineRule="auto"/>
      </w:pPr>
      <w:r>
        <w:t xml:space="preserve">We agreed to further promote the transfer of knowledge, best practices, and advanced technologies to ASEAN businesses, including start-ups and MSMEs through the ASEAN-ROK Start-ups Partnership and projects such as Enhancing Digital Economy Participation for ASEAN Women MSMEs (IDEAS). We welcomed the activities of the ASEAN-Korea Business Council (AKBC) and ASEAN-Korea Centre (AKC) in supporting trade and investment flows, and deepening business-to-business cooperation between ASEAN and the ROK. We appreciated various cooperation projects by the ASEAN-ROK Financial Cooperation Centre, including the 2025 ASEAN-ROK Financial Cooperation Forum co-hosted by the Council on International Financial Cooperation and the ASEAN+3 Macroeconomic Research Office (AMRO) in Singapore in April 2025. </w:t>
      </w:r>
    </w:p>
    <w:p w14:paraId="00000021" w14:textId="77777777" w:rsidR="00A42E48" w:rsidRDefault="00A42E48">
      <w:pPr>
        <w:spacing w:before="0" w:after="9" w:line="271" w:lineRule="auto"/>
        <w:ind w:left="720"/>
      </w:pPr>
    </w:p>
    <w:p w14:paraId="00000022" w14:textId="77777777" w:rsidR="00A42E48" w:rsidRDefault="00000000">
      <w:pPr>
        <w:numPr>
          <w:ilvl w:val="0"/>
          <w:numId w:val="1"/>
        </w:numPr>
        <w:spacing w:before="0" w:after="9" w:line="271" w:lineRule="auto"/>
      </w:pPr>
      <w:r>
        <w:t>We welcomed the deepening of ASEAN-ROK cooperation in the field of intellectual property (IP), marked by the successful 8</w:t>
      </w:r>
      <w:r>
        <w:rPr>
          <w:vertAlign w:val="superscript"/>
        </w:rPr>
        <w:t>th</w:t>
      </w:r>
      <w:r>
        <w:t xml:space="preserve"> ASEAN-ROK Heads of IP Offices Meeting, the adoption of the 2025 Joint Statement between ROK and ASEAN on IP Cooperation, and the progress made towards the </w:t>
      </w:r>
      <w:proofErr w:type="spellStart"/>
      <w:r>
        <w:t>finalisation</w:t>
      </w:r>
      <w:proofErr w:type="spellEnd"/>
      <w:r>
        <w:t xml:space="preserve"> of the ASEAN-ROK Implementing Arrangement on IP Cooperation. These milestones provide a strong foundation and generate robust momentum for a more impactful partnership focused on key priorities, including the </w:t>
      </w:r>
      <w:proofErr w:type="spellStart"/>
      <w:r>
        <w:t>utilisation</w:t>
      </w:r>
      <w:proofErr w:type="spellEnd"/>
      <w:r>
        <w:t xml:space="preserve"> of artificial intelligence (AI) in IP systems, enhanced IP enforcement, IP financing and valuation, and IP education. We </w:t>
      </w:r>
      <w:proofErr w:type="spellStart"/>
      <w:r>
        <w:t>recognised</w:t>
      </w:r>
      <w:proofErr w:type="spellEnd"/>
      <w:r>
        <w:t xml:space="preserve"> the potential of these initiatives to support MSMEs, drive inclusive innovation, and promote digital transformation, and encouraged the effective implementation of the Arrangement to meaningfully contribute to the ASEAN-ROK CSP.  </w:t>
      </w:r>
    </w:p>
    <w:p w14:paraId="00000023" w14:textId="77777777" w:rsidR="00A42E48" w:rsidRDefault="00A42E48">
      <w:pPr>
        <w:spacing w:before="0" w:after="9" w:line="271" w:lineRule="auto"/>
        <w:ind w:left="720"/>
      </w:pPr>
    </w:p>
    <w:p w14:paraId="00000024" w14:textId="77777777" w:rsidR="00A42E48" w:rsidRDefault="00A42E48">
      <w:pPr>
        <w:spacing w:before="0" w:after="9" w:line="271" w:lineRule="auto"/>
        <w:ind w:left="720"/>
      </w:pPr>
    </w:p>
    <w:p w14:paraId="00000025" w14:textId="77777777" w:rsidR="00A42E48" w:rsidRDefault="00000000">
      <w:pPr>
        <w:numPr>
          <w:ilvl w:val="0"/>
          <w:numId w:val="1"/>
        </w:numPr>
        <w:spacing w:before="0" w:after="9" w:line="271" w:lineRule="auto"/>
      </w:pPr>
      <w:r>
        <w:lastRenderedPageBreak/>
        <w:t xml:space="preserve">We welcomed the ROK’s continued support in its areas of expertise, particularly in advancing the Fourth Industrial Revolution (4IR). Key areas of cooperation include digital trade, digital transformation, sustainable economy and development, supply chain resilience, human resource development, food security and safety, smart infrastructure, future </w:t>
      </w:r>
      <w:proofErr w:type="gramStart"/>
      <w:r>
        <w:t>industries, and</w:t>
      </w:r>
      <w:proofErr w:type="gramEnd"/>
      <w:r>
        <w:t xml:space="preserve"> science, technology, and innovation (STI). We commended the continued implementation of the ASEAN-ROK STI Workshop and ASEAN-ROK Award for Excellence in STI </w:t>
      </w:r>
      <w:proofErr w:type="spellStart"/>
      <w:r>
        <w:t>Programmes</w:t>
      </w:r>
      <w:proofErr w:type="spellEnd"/>
      <w:r>
        <w:t xml:space="preserve">, which </w:t>
      </w:r>
      <w:proofErr w:type="gramStart"/>
      <w:r>
        <w:t>contribute</w:t>
      </w:r>
      <w:proofErr w:type="gramEnd"/>
      <w:r>
        <w:t xml:space="preserve"> to strengthening STI policymaking and </w:t>
      </w:r>
      <w:proofErr w:type="spellStart"/>
      <w:r>
        <w:t>recognising</w:t>
      </w:r>
      <w:proofErr w:type="spellEnd"/>
      <w:r>
        <w:t xml:space="preserve"> the academic and professional achievements of outstanding early-career scientists and engineers from ASEAN Member States. We welcomed stronger cooperation and support from the ROK on digital transformation, including through the implementation of the ASEAN Digital Economy Framework Agreement (DEFA). We looked forward to the effective implementation of the ASEAN-ROK Digital Innovation Flagship Project (KADIF), which covers (</w:t>
      </w:r>
      <w:proofErr w:type="spellStart"/>
      <w:r>
        <w:t>i</w:t>
      </w:r>
      <w:proofErr w:type="spellEnd"/>
      <w:r>
        <w:t xml:space="preserve">) Joint Data Ecosystem, (ii) High-Performance Computing Center (HPC), (iii) AI Startup Competition, (iv) ASEAN Digital Academy, and (v) Develop and expand AI Solutions, aimed at enhancing ASEAN’s digital connectivity and transformation through technology cooperation and capacity-building initiatives. The soon-to-be established HPC physical facility with 3.5 Peta Flops of computing power will be made accessible to the entire research and scientific community across ASEAN Member States.  </w:t>
      </w:r>
    </w:p>
    <w:p w14:paraId="00000026" w14:textId="77777777" w:rsidR="00A42E48" w:rsidRDefault="00A42E48">
      <w:pPr>
        <w:spacing w:before="0" w:after="9" w:line="271" w:lineRule="auto"/>
        <w:ind w:left="720"/>
      </w:pPr>
    </w:p>
    <w:p w14:paraId="00000027" w14:textId="77777777" w:rsidR="00A42E48" w:rsidRDefault="00000000">
      <w:pPr>
        <w:numPr>
          <w:ilvl w:val="0"/>
          <w:numId w:val="1"/>
        </w:numPr>
        <w:spacing w:before="0" w:after="9" w:line="271" w:lineRule="auto"/>
      </w:pPr>
      <w:r>
        <w:t xml:space="preserve">We welcomed the ROK’s continued support in critical mineral exploration through the Project on Critical Minerals Management and Strategy for Sustainable Environment in ASEAN, which focuses on improving knowledge in critical minerals exploration, including the use of smart mineral exploration technology and real-time data platforms.  </w:t>
      </w:r>
    </w:p>
    <w:p w14:paraId="00000028" w14:textId="77777777" w:rsidR="00A42E48" w:rsidRDefault="00A42E48">
      <w:pPr>
        <w:spacing w:before="0" w:after="9" w:line="271" w:lineRule="auto"/>
        <w:ind w:left="720"/>
      </w:pPr>
    </w:p>
    <w:p w14:paraId="00000029" w14:textId="77777777" w:rsidR="00A42E48" w:rsidRDefault="00000000">
      <w:pPr>
        <w:numPr>
          <w:ilvl w:val="0"/>
          <w:numId w:val="1"/>
        </w:numPr>
        <w:spacing w:before="0" w:after="9" w:line="271" w:lineRule="auto"/>
      </w:pPr>
      <w:r>
        <w:t xml:space="preserve">We encouraged ASEAN and the ROK to jointly respond to the climate crisis through science-based forest restoration and further explore cooperation in promoting sustainable forest management through existing mechanisms such as the Asian Forest Cooperation </w:t>
      </w:r>
      <w:proofErr w:type="spellStart"/>
      <w:r>
        <w:t>Organisation</w:t>
      </w:r>
      <w:proofErr w:type="spellEnd"/>
      <w:r>
        <w:t xml:space="preserve"> (</w:t>
      </w:r>
      <w:proofErr w:type="spellStart"/>
      <w:r>
        <w:t>AFoCO</w:t>
      </w:r>
      <w:proofErr w:type="spellEnd"/>
      <w:r>
        <w:t xml:space="preserve">) and in poverty eradication and rural development through, among others, the ASEAN Master Plan on Rural Development and ASEAN Villages Network (AVN).  </w:t>
      </w:r>
    </w:p>
    <w:p w14:paraId="0000002A" w14:textId="77777777" w:rsidR="00A42E48" w:rsidRDefault="00A42E48">
      <w:pPr>
        <w:spacing w:before="0" w:after="9" w:line="271" w:lineRule="auto"/>
        <w:ind w:left="720"/>
      </w:pPr>
    </w:p>
    <w:p w14:paraId="0000002B" w14:textId="77777777" w:rsidR="00A42E48" w:rsidRDefault="00000000">
      <w:pPr>
        <w:numPr>
          <w:ilvl w:val="0"/>
          <w:numId w:val="1"/>
        </w:numPr>
        <w:spacing w:before="0" w:after="9" w:line="271" w:lineRule="auto"/>
      </w:pPr>
      <w:r>
        <w:t xml:space="preserve">We called upon </w:t>
      </w:r>
      <w:proofErr w:type="gramStart"/>
      <w:r>
        <w:t>the ROK</w:t>
      </w:r>
      <w:proofErr w:type="gramEnd"/>
      <w:r>
        <w:t xml:space="preserve"> to support the implementation of the Action Plan on Sustainable Agriculture in ASEAN, focusing on advancing </w:t>
      </w:r>
      <w:proofErr w:type="spellStart"/>
      <w:r>
        <w:t>decarbonisation</w:t>
      </w:r>
      <w:proofErr w:type="spellEnd"/>
      <w:r>
        <w:t xml:space="preserve">, reducing the use of harmful agrochemicals, promoting </w:t>
      </w:r>
      <w:proofErr w:type="spellStart"/>
      <w:r>
        <w:t>digitalisation</w:t>
      </w:r>
      <w:proofErr w:type="spellEnd"/>
      <w:r>
        <w:t xml:space="preserve">, enhancing climate change adaptation and mitigation, and fostering public-private partnerships. These efforts aim to accelerate the widespread adoption of sustainable agricultural practices that enhance resource efficiency, mitigate and adapt to climate change, ensure food security, empower rural livelihoods, expand knowledge, and foster partnerships. We also encouraged stakeholders to coordinate closely with the ASEAN Secretariat to identify relevant projects and </w:t>
      </w:r>
      <w:proofErr w:type="spellStart"/>
      <w:r>
        <w:t>programmes</w:t>
      </w:r>
      <w:proofErr w:type="spellEnd"/>
      <w:r>
        <w:t xml:space="preserve"> to support the effective implementation of these priorities. </w:t>
      </w:r>
    </w:p>
    <w:p w14:paraId="0000002C" w14:textId="77777777" w:rsidR="00A42E48" w:rsidRDefault="00A42E48">
      <w:pPr>
        <w:spacing w:before="0" w:after="9" w:line="271" w:lineRule="auto"/>
        <w:ind w:left="720"/>
      </w:pPr>
    </w:p>
    <w:p w14:paraId="0000002D" w14:textId="77777777" w:rsidR="00A42E48" w:rsidRDefault="00000000">
      <w:pPr>
        <w:numPr>
          <w:ilvl w:val="0"/>
          <w:numId w:val="1"/>
        </w:numPr>
        <w:spacing w:before="0" w:after="9" w:line="271" w:lineRule="auto"/>
      </w:pPr>
      <w:r>
        <w:t xml:space="preserve">We encouraged the ROK to support ASEAN’s renewable energy transition, and regional interconnectivity efforts through the ASEAN Plan of Action for Energy Cooperation (2026-2030). This includes the drafting of the ASEAN Subsea Power Cable Development Framework and collaboration on grid technologies such as energy storage systems, smart distribution networks, and artificial intelligence applications as ASEAN works towards </w:t>
      </w:r>
      <w:proofErr w:type="spellStart"/>
      <w:r>
        <w:t>realising</w:t>
      </w:r>
      <w:proofErr w:type="spellEnd"/>
      <w:r>
        <w:t xml:space="preserve"> the ASEAN Power Grid (APG) by 2045. In this context, ASEAN welcomed ROK’s proposal to initiate a joint study to </w:t>
      </w:r>
      <w:proofErr w:type="gramStart"/>
      <w:r>
        <w:t>look into</w:t>
      </w:r>
      <w:proofErr w:type="gramEnd"/>
      <w:r>
        <w:t xml:space="preserve"> ROK’s potential contribution to APG. ASEAN further welcomed the ROK’s continued interest and support for emerging </w:t>
      </w:r>
      <w:proofErr w:type="spellStart"/>
      <w:r>
        <w:t>lowcarbon</w:t>
      </w:r>
      <w:proofErr w:type="spellEnd"/>
      <w:r>
        <w:t xml:space="preserve"> technologies such as geothermal, hydrogen, and nuclear as well as further advancing equitable, inclusive and sustainable development throughout the ASEAN Community.  </w:t>
      </w:r>
    </w:p>
    <w:p w14:paraId="0000002E" w14:textId="77777777" w:rsidR="00A42E48" w:rsidRDefault="00A42E48">
      <w:pPr>
        <w:spacing w:before="0" w:after="9" w:line="271" w:lineRule="auto"/>
        <w:ind w:left="720"/>
      </w:pPr>
    </w:p>
    <w:p w14:paraId="0000002F" w14:textId="77777777" w:rsidR="00A42E48" w:rsidRDefault="00A42E48">
      <w:pPr>
        <w:spacing w:before="0" w:after="9" w:line="271" w:lineRule="auto"/>
        <w:ind w:left="720"/>
      </w:pPr>
    </w:p>
    <w:p w14:paraId="00000030" w14:textId="77777777" w:rsidR="00A42E48" w:rsidRDefault="00000000">
      <w:pPr>
        <w:numPr>
          <w:ilvl w:val="0"/>
          <w:numId w:val="1"/>
        </w:numPr>
        <w:spacing w:before="0" w:after="9" w:line="271" w:lineRule="auto"/>
      </w:pPr>
      <w:r>
        <w:lastRenderedPageBreak/>
        <w:t xml:space="preserve">We appreciated the ROK’s continued support in advancing the tourism cooperation, including through the Korea Partnership Initiative for Sustainable Tourism (KOPIST) </w:t>
      </w:r>
      <w:proofErr w:type="spellStart"/>
      <w:r>
        <w:t>Programme</w:t>
      </w:r>
      <w:proofErr w:type="spellEnd"/>
      <w:r>
        <w:t xml:space="preserve">, which focuses on improving capacity and capability of the tourism professionals and strengthening sustainable tourism development. </w:t>
      </w:r>
    </w:p>
    <w:p w14:paraId="00000031" w14:textId="77777777" w:rsidR="00A42E48" w:rsidRDefault="00A42E48">
      <w:pPr>
        <w:spacing w:before="0" w:after="9" w:line="271" w:lineRule="auto"/>
        <w:ind w:left="720"/>
      </w:pPr>
    </w:p>
    <w:p w14:paraId="00000032" w14:textId="77777777" w:rsidR="00A42E48" w:rsidRDefault="00000000">
      <w:pPr>
        <w:numPr>
          <w:ilvl w:val="0"/>
          <w:numId w:val="1"/>
        </w:numPr>
        <w:spacing w:before="0" w:after="9" w:line="271" w:lineRule="auto"/>
      </w:pPr>
      <w:r>
        <w:t xml:space="preserve">We appreciated the ROK’s continued cooperation in enhancing regional connectivity through the implementation of the Master Plan on ASEAN Connectivity (MPAC) 2025. We looked forward to the ROK’s continued engagement and support for the implementation of the ASEAN Connectivity Strategic Plan (ACSP). We encouraged </w:t>
      </w:r>
      <w:proofErr w:type="gramStart"/>
      <w:r>
        <w:t>the ROK</w:t>
      </w:r>
      <w:proofErr w:type="gramEnd"/>
      <w:r>
        <w:t xml:space="preserve"> to further strengthen connectivity cooperation with ASEAN, including strategic areas such as sustainable infrastructure, smart and sustainable urban development, digital innovation, seamless logistics and supply chain, regulatory excellence and cooperation, and people-to-people connectivity. We noted the successful second year implementation of the ASEAN Smart City Professional </w:t>
      </w:r>
      <w:proofErr w:type="spellStart"/>
      <w:r>
        <w:t>Programme</w:t>
      </w:r>
      <w:proofErr w:type="spellEnd"/>
      <w:r>
        <w:t xml:space="preserve"> (ASPP) and looked forward to a successful third year outcome. We encouraged the ROK’s continued support for smart city development and smart mobility capacity advancement through knowledge sharing, research and training </w:t>
      </w:r>
      <w:proofErr w:type="spellStart"/>
      <w:r>
        <w:t>programmes</w:t>
      </w:r>
      <w:proofErr w:type="spellEnd"/>
      <w:r>
        <w:t xml:space="preserve">. We appreciated the ROK’s continued partnership on the facilitation of the intra-ASEAN Technical and Vocational Education and Training (TVET) Mobility through the ASEAN-ROK TVET Mobility </w:t>
      </w:r>
      <w:proofErr w:type="spellStart"/>
      <w:r>
        <w:t>Programme</w:t>
      </w:r>
      <w:proofErr w:type="spellEnd"/>
      <w:r>
        <w:t xml:space="preserve">. We also looked forward to the conclusion of a more liberal and mutually beneficial ASEAN-ROK Air Services Agreement (AK-ASA).  </w:t>
      </w:r>
    </w:p>
    <w:p w14:paraId="00000033" w14:textId="77777777" w:rsidR="00A42E48" w:rsidRDefault="00A42E48">
      <w:pPr>
        <w:spacing w:before="0" w:after="9" w:line="271" w:lineRule="auto"/>
        <w:ind w:left="720"/>
      </w:pPr>
    </w:p>
    <w:p w14:paraId="00000034" w14:textId="77777777" w:rsidR="00A42E48" w:rsidRDefault="00000000">
      <w:pPr>
        <w:numPr>
          <w:ilvl w:val="0"/>
          <w:numId w:val="1"/>
        </w:numPr>
        <w:spacing w:before="0" w:after="9" w:line="271" w:lineRule="auto"/>
      </w:pPr>
      <w:r>
        <w:t xml:space="preserve">We welcomed the ROK’s continued support in narrowing the development gaps within ASEAN, including implementation of the Initiative for ASEAN Integration (IAI) Work Plan IV (2021-2025), and look forward to ROK’s continued engagement with ASEAN under the IAI Work Plan V (2026-2030), which will incorporate elements of, and align with the ASEAN 2045: Our Shared Future.  </w:t>
      </w:r>
    </w:p>
    <w:p w14:paraId="00000035" w14:textId="77777777" w:rsidR="00A42E48" w:rsidRDefault="00A42E48">
      <w:pPr>
        <w:spacing w:before="0" w:after="9" w:line="271" w:lineRule="auto"/>
        <w:ind w:left="720"/>
      </w:pPr>
    </w:p>
    <w:p w14:paraId="00000036" w14:textId="77777777" w:rsidR="00A42E48" w:rsidRDefault="00000000">
      <w:pPr>
        <w:numPr>
          <w:ilvl w:val="0"/>
          <w:numId w:val="1"/>
        </w:numPr>
        <w:spacing w:before="0" w:after="9" w:line="271" w:lineRule="auto"/>
      </w:pPr>
      <w:r>
        <w:t xml:space="preserve">We appreciated the ROK’s deepening collaboration with the ASEAN Health Sector and its commitment to strengthening health systems to achieve sustainable Universal Health Coverage (UHC) and health security for resilient health systems, in line with ASEAN Post-2015 Health Development Agenda 2021-2025. We encouraged ASEAN and ROK to continue cooperation for the establishment and </w:t>
      </w:r>
      <w:proofErr w:type="spellStart"/>
      <w:r>
        <w:t>operationalisation</w:t>
      </w:r>
      <w:proofErr w:type="spellEnd"/>
      <w:r>
        <w:t xml:space="preserve"> of the ASEAN Centre for Public Health Emergencies and Emerging Diseases (ACPHEED), the ASEAN Centre for Active Ageing and Innovation (ACAI), and the ASEAN Biological Threats Surveillance Centre (ABVC). We also </w:t>
      </w:r>
      <w:proofErr w:type="spellStart"/>
      <w:r>
        <w:t>recognised</w:t>
      </w:r>
      <w:proofErr w:type="spellEnd"/>
      <w:r>
        <w:t xml:space="preserve"> the critical role of digital technologies in enhancing accessibility, efficiency, and quality of healthcare, and agreed to enhance collaboration in digital transformation of the public healthcare sector. </w:t>
      </w:r>
    </w:p>
    <w:p w14:paraId="00000037" w14:textId="77777777" w:rsidR="00A42E48" w:rsidRDefault="00A42E48">
      <w:pPr>
        <w:spacing w:before="0" w:after="9" w:line="271" w:lineRule="auto"/>
        <w:ind w:left="720"/>
      </w:pPr>
    </w:p>
    <w:p w14:paraId="00000038" w14:textId="77777777" w:rsidR="00A42E48" w:rsidRDefault="00000000">
      <w:pPr>
        <w:numPr>
          <w:ilvl w:val="0"/>
          <w:numId w:val="1"/>
        </w:numPr>
        <w:spacing w:before="0" w:after="9" w:line="271" w:lineRule="auto"/>
      </w:pPr>
      <w:r>
        <w:t xml:space="preserve">We reaffirmed our commitment to further strengthening people-to-people and cultural exchanges through initiatives such as TVET, scholarships, workshops, and activities implemented by relevant sectoral bodies, such as the AKC in Seoul, ASEAN Cultural House (ACH) in Busan, and ASEAN Cultural Centre in Bangkok. We noted the progress under the ASEAN-ROK Work Plan on Cooperation in Culture and the Arts (2022-2025), and looked forward to continued collaboration in the protection, preservation, and promotion of shared cultural heritage including through the ASEAN-ROK Working Committee on Cultural Heritage Cooperation. We also welcomed efforts to celebrate ASEANROK cultural vibrancy and creative industries through media and film initiatives, including the ASEAN-ROK Music Festival (ROUND) and ASEAN-ROK Film Community </w:t>
      </w:r>
      <w:proofErr w:type="spellStart"/>
      <w:r>
        <w:t>Programme</w:t>
      </w:r>
      <w:proofErr w:type="spellEnd"/>
      <w:r>
        <w:t xml:space="preserve"> (FLY). We further appreciated the ROK’s partnership with ASEAN for the ongoing Comprehensive Review of the Strategic Plan for Culture and Arts (2016-2025) and the Development of a New Work Plan (2026-2035) that will set out the strategic directions and priorities for the culture and arts sector in the decade ahead. </w:t>
      </w:r>
    </w:p>
    <w:p w14:paraId="00000039" w14:textId="77777777" w:rsidR="00A42E48" w:rsidRDefault="00000000">
      <w:pPr>
        <w:spacing w:after="38" w:line="259" w:lineRule="auto"/>
        <w:jc w:val="left"/>
      </w:pPr>
      <w:r>
        <w:lastRenderedPageBreak/>
        <w:t xml:space="preserve"> </w:t>
      </w:r>
    </w:p>
    <w:p w14:paraId="0000003A" w14:textId="77777777" w:rsidR="00A42E48" w:rsidRDefault="00000000">
      <w:pPr>
        <w:numPr>
          <w:ilvl w:val="0"/>
          <w:numId w:val="1"/>
        </w:numPr>
        <w:spacing w:before="0" w:after="9" w:line="271" w:lineRule="auto"/>
      </w:pPr>
      <w:r>
        <w:t xml:space="preserve">We appreciated the ROK’s continued collaboration in enhancing the education quality in ASEAN through initiatives such as the Southeast Asia Primary Learning Metrics (SEA-PLM) </w:t>
      </w:r>
      <w:proofErr w:type="spellStart"/>
      <w:r>
        <w:t>Programme</w:t>
      </w:r>
      <w:proofErr w:type="spellEnd"/>
      <w:r>
        <w:t xml:space="preserve">. We acknowledged the expansion of scholarship opportunities under the ASEAN-ROK Higher Education for ASEAN Talents: Scholarship Opportunity for ASEAN Faculty Members in the ROK (HEAT) project. We noted the recent approval of the ASEAN-Korea Platform for Great Minds: Academic Collaboration for Future Southeast Asianists, an initiative aimed at fostering academic exchanges and deepening regional </w:t>
      </w:r>
      <w:proofErr w:type="gramStart"/>
      <w:r>
        <w:t>expertise, and</w:t>
      </w:r>
      <w:proofErr w:type="gramEnd"/>
      <w:r>
        <w:t xml:space="preserve"> looked forward to its implementation. We welcomed </w:t>
      </w:r>
      <w:proofErr w:type="gramStart"/>
      <w:r>
        <w:t>the ROK's</w:t>
      </w:r>
      <w:proofErr w:type="gramEnd"/>
      <w:r>
        <w:t xml:space="preserve"> continued collaboration with ASEAN for young ASEAN talents to build a ladder of development through the Inclusive Education Modules (IEM). </w:t>
      </w:r>
    </w:p>
    <w:p w14:paraId="0000003B" w14:textId="77777777" w:rsidR="00A42E48" w:rsidRDefault="00A42E48">
      <w:pPr>
        <w:spacing w:before="0" w:after="9" w:line="271" w:lineRule="auto"/>
        <w:ind w:left="720"/>
      </w:pPr>
    </w:p>
    <w:p w14:paraId="0000003C" w14:textId="77777777" w:rsidR="00A42E48" w:rsidRDefault="00000000">
      <w:pPr>
        <w:numPr>
          <w:ilvl w:val="0"/>
          <w:numId w:val="1"/>
        </w:numPr>
        <w:spacing w:before="0" w:after="9" w:line="271" w:lineRule="auto"/>
      </w:pPr>
      <w:r>
        <w:t xml:space="preserve">We underscored the importance of strengthened disaster management cooperation. We appreciated </w:t>
      </w:r>
      <w:proofErr w:type="gramStart"/>
      <w:r>
        <w:t>the ROK’s</w:t>
      </w:r>
      <w:proofErr w:type="gramEnd"/>
      <w:r>
        <w:t xml:space="preserve"> continued partnership for disaster resilience building in the region through the implementation of the ASEAN-ROK Work Plan on Disaster Management 2021-2025. We acknowledged the contribution of the ROK to ASEAN’s capacity building through the ongoing flagship projects, namely the Disaster Risk Management Capacity Building Program for ASEAN (D-CAB) Phase 2 and ASEAN Standards and Certification for Experts in Disaster Management (ASCEND). </w:t>
      </w:r>
    </w:p>
    <w:p w14:paraId="0000003D" w14:textId="77777777" w:rsidR="00A42E48" w:rsidRDefault="00A42E48">
      <w:pPr>
        <w:spacing w:before="0" w:after="9" w:line="271" w:lineRule="auto"/>
        <w:ind w:left="720"/>
      </w:pPr>
    </w:p>
    <w:p w14:paraId="0000003E" w14:textId="77777777" w:rsidR="00A42E48" w:rsidRDefault="00000000">
      <w:pPr>
        <w:numPr>
          <w:ilvl w:val="0"/>
          <w:numId w:val="1"/>
        </w:numPr>
        <w:spacing w:before="0" w:after="9" w:line="271" w:lineRule="auto"/>
      </w:pPr>
      <w:r>
        <w:t xml:space="preserve">We invited </w:t>
      </w:r>
      <w:proofErr w:type="gramStart"/>
      <w:r>
        <w:t>the ROK</w:t>
      </w:r>
      <w:proofErr w:type="gramEnd"/>
      <w:r>
        <w:t xml:space="preserve"> to expand its collaboration in the field of disaster management through the implementation of the ASEAN Agreement on Disaster Management and Emergency Response (AADMER) Work </w:t>
      </w:r>
      <w:proofErr w:type="spellStart"/>
      <w:r>
        <w:t>Programme</w:t>
      </w:r>
      <w:proofErr w:type="spellEnd"/>
      <w:r>
        <w:t xml:space="preserve"> 20262030 and the Leaders’ Declaration on Sustainable Resilience to enhance climate and disaster resilience across the region. </w:t>
      </w:r>
    </w:p>
    <w:p w14:paraId="0000003F" w14:textId="77777777" w:rsidR="00A42E48" w:rsidRDefault="00A42E48">
      <w:pPr>
        <w:spacing w:before="0" w:after="9" w:line="271" w:lineRule="auto"/>
        <w:ind w:left="720"/>
      </w:pPr>
    </w:p>
    <w:p w14:paraId="00000040" w14:textId="77777777" w:rsidR="00A42E48" w:rsidRDefault="00000000">
      <w:pPr>
        <w:numPr>
          <w:ilvl w:val="0"/>
          <w:numId w:val="1"/>
        </w:numPr>
        <w:spacing w:before="0" w:after="9" w:line="271" w:lineRule="auto"/>
      </w:pPr>
      <w:r>
        <w:t xml:space="preserve">We welcomed the ROK’s continued partnership in advancing regional efforts on climate action and environmental sustainability including through the ASEAN-ROK High Level Dialogue on Environment and Climate Change and projects such as Clean Air for Sustainable ASEAN (CASA), the Integrated Municipal Solid Waste Management (IMSWM), and the important Partnership for ASEAN-ROK Methane Action (PARMA), in particular ASEAN-Korea Cooperation for Methane Mitigation (AKCMM) project.  </w:t>
      </w:r>
    </w:p>
    <w:p w14:paraId="00000041" w14:textId="77777777" w:rsidR="00A42E48" w:rsidRDefault="00A42E48">
      <w:pPr>
        <w:spacing w:before="0" w:after="9" w:line="271" w:lineRule="auto"/>
        <w:ind w:left="720"/>
      </w:pPr>
    </w:p>
    <w:p w14:paraId="00000042" w14:textId="77777777" w:rsidR="00A42E48" w:rsidRDefault="00000000">
      <w:pPr>
        <w:numPr>
          <w:ilvl w:val="0"/>
          <w:numId w:val="1"/>
        </w:numPr>
        <w:spacing w:before="0" w:after="9" w:line="271" w:lineRule="auto"/>
      </w:pPr>
      <w:r>
        <w:t xml:space="preserve">We looked forward to enhanced cooperation in key areas such as green growth, transboundary haze pollution, marine pollution, climate change, biodiversity conservation, water resources management, waste management, environmental education, sustainable consumption and production, rural development and sustainable cities. We encouraged collaboration through ASEAN’s </w:t>
      </w:r>
      <w:proofErr w:type="spellStart"/>
      <w:r>
        <w:t>centres</w:t>
      </w:r>
      <w:proofErr w:type="spellEnd"/>
      <w:r>
        <w:t xml:space="preserve"> of excellence, such as the ASEAN Centre for Climate Change (ACCC), the ASEAN Coordinating Centre for Transboundary Haze Pollution Control (ACC THPC), the ASEAN Centre for Biodiversity (ACB), the ASEAN Centre for Sustainable Development Studies and Dialogue (ACSDSD), and the ASEAN </w:t>
      </w:r>
      <w:proofErr w:type="spellStart"/>
      <w:r>
        <w:t>Specialised</w:t>
      </w:r>
      <w:proofErr w:type="spellEnd"/>
      <w:r>
        <w:t xml:space="preserve"> Meteorological Centre (ASMC), in supporting regional cooperation and promoting sustainable development. </w:t>
      </w:r>
    </w:p>
    <w:p w14:paraId="00000043" w14:textId="77777777" w:rsidR="00A42E48" w:rsidRDefault="00A42E48">
      <w:pPr>
        <w:spacing w:before="0" w:after="9" w:line="271" w:lineRule="auto"/>
        <w:ind w:left="720"/>
      </w:pPr>
    </w:p>
    <w:p w14:paraId="00000044" w14:textId="77777777" w:rsidR="00A42E48" w:rsidRDefault="00000000">
      <w:pPr>
        <w:numPr>
          <w:ilvl w:val="0"/>
          <w:numId w:val="1"/>
        </w:numPr>
        <w:spacing w:before="0" w:after="9" w:line="271" w:lineRule="auto"/>
      </w:pPr>
      <w:r>
        <w:t xml:space="preserve">We encouraged strengthened cooperation in education, </w:t>
      </w:r>
      <w:proofErr w:type="spellStart"/>
      <w:r>
        <w:t>labour</w:t>
      </w:r>
      <w:proofErr w:type="spellEnd"/>
      <w:r>
        <w:t xml:space="preserve">, employment, occupational safety and health, and human resource development, including through the annual ASEAN-ROK Policy Sharing Workshop in the Employment and </w:t>
      </w:r>
      <w:proofErr w:type="spellStart"/>
      <w:r>
        <w:t>Labour</w:t>
      </w:r>
      <w:proofErr w:type="spellEnd"/>
      <w:r>
        <w:t xml:space="preserve"> Sector (2021-2025).  </w:t>
      </w:r>
    </w:p>
    <w:p w14:paraId="00000045" w14:textId="77777777" w:rsidR="00A42E48" w:rsidRDefault="00A42E48">
      <w:pPr>
        <w:spacing w:before="0" w:after="9" w:line="271" w:lineRule="auto"/>
        <w:ind w:left="720"/>
      </w:pPr>
    </w:p>
    <w:p w14:paraId="00000046" w14:textId="77777777" w:rsidR="00A42E48" w:rsidRDefault="00000000">
      <w:pPr>
        <w:numPr>
          <w:ilvl w:val="0"/>
          <w:numId w:val="1"/>
        </w:numPr>
        <w:spacing w:before="0" w:after="9" w:line="271" w:lineRule="auto"/>
      </w:pPr>
      <w:r>
        <w:t xml:space="preserve">We appreciated the commitment of the ROK to advancing sports cooperation in the region through the implementation of exchange </w:t>
      </w:r>
      <w:proofErr w:type="spellStart"/>
      <w:r>
        <w:t>programmes</w:t>
      </w:r>
      <w:proofErr w:type="spellEnd"/>
      <w:r>
        <w:t xml:space="preserve"> for capacity development for sports officials and professionals, such as the ASEAN-Korea Football Interpersonal Exchange and Leadership Development (FIELD) </w:t>
      </w:r>
      <w:proofErr w:type="spellStart"/>
      <w:r>
        <w:t>Programme</w:t>
      </w:r>
      <w:proofErr w:type="spellEnd"/>
      <w:r>
        <w:t xml:space="preserve">.  </w:t>
      </w:r>
    </w:p>
    <w:p w14:paraId="00000047" w14:textId="77777777" w:rsidR="00A42E48" w:rsidRDefault="00A42E48">
      <w:pPr>
        <w:spacing w:before="0" w:after="9" w:line="271" w:lineRule="auto"/>
        <w:ind w:left="720"/>
      </w:pPr>
    </w:p>
    <w:p w14:paraId="00000048" w14:textId="77777777" w:rsidR="00A42E48" w:rsidRDefault="00000000">
      <w:pPr>
        <w:numPr>
          <w:ilvl w:val="0"/>
          <w:numId w:val="1"/>
        </w:numPr>
        <w:spacing w:before="0" w:after="9" w:line="271" w:lineRule="auto"/>
      </w:pPr>
      <w:r>
        <w:t xml:space="preserve">We welcomed the ROK’s continued collaboration with ASEAN in accelerating cooperation on social welfare and development, particularly in promoting the inclusion of people in vulnerable situations, especially women and children, persons with disabilities and older persons, in all </w:t>
      </w:r>
      <w:r>
        <w:lastRenderedPageBreak/>
        <w:t xml:space="preserve">aspects of development. We welcomed the ASEAN+ROK Conference on Care and Support for Older Persons held in Malaysia in 2025. </w:t>
      </w:r>
    </w:p>
    <w:p w14:paraId="00000049" w14:textId="77777777" w:rsidR="00A42E48" w:rsidRDefault="00A42E48">
      <w:pPr>
        <w:spacing w:before="0" w:after="9" w:line="271" w:lineRule="auto"/>
        <w:ind w:left="720"/>
      </w:pPr>
    </w:p>
    <w:p w14:paraId="0000004A" w14:textId="77777777" w:rsidR="00A42E48" w:rsidRDefault="00000000">
      <w:pPr>
        <w:numPr>
          <w:ilvl w:val="0"/>
          <w:numId w:val="1"/>
        </w:numPr>
        <w:spacing w:before="0" w:after="9" w:line="271" w:lineRule="auto"/>
      </w:pPr>
      <w:r>
        <w:t xml:space="preserve">We appreciated the ROK’s continued partnership with ASEAN through the ASEAN Socio-Cultural Community Research and Development Platforms on the Future of Education and the Future of Work. These platforms have actively contributed to enhancing our knowledge base and expertise, supporting efforts to improve workforce readiness in the age of </w:t>
      </w:r>
      <w:proofErr w:type="spellStart"/>
      <w:r>
        <w:t>digitalisation</w:t>
      </w:r>
      <w:proofErr w:type="spellEnd"/>
      <w:r>
        <w:t xml:space="preserve">. Key findings highlight the crucial role of private sector and community participation in inclusive Human Resource Development (HRD) and the essential need for workforce preparation through skills development, with government as an enabler. The platforms also </w:t>
      </w:r>
      <w:proofErr w:type="spellStart"/>
      <w:r>
        <w:t>emphasise</w:t>
      </w:r>
      <w:proofErr w:type="spellEnd"/>
      <w:r>
        <w:t xml:space="preserve"> transforming education through new pedagogies and assistive technologies to bridge the digital divide and improve access for all learners. We noted that the findings have been published and encouraged their dissemination to support evidence-based policymaking. </w:t>
      </w:r>
    </w:p>
    <w:p w14:paraId="0000004B" w14:textId="77777777" w:rsidR="00A42E48" w:rsidRDefault="00A42E48">
      <w:pPr>
        <w:spacing w:before="0" w:after="9" w:line="271" w:lineRule="auto"/>
        <w:ind w:left="720"/>
      </w:pPr>
    </w:p>
    <w:p w14:paraId="0000004C" w14:textId="77777777" w:rsidR="00A42E48" w:rsidRDefault="00000000">
      <w:pPr>
        <w:numPr>
          <w:ilvl w:val="0"/>
          <w:numId w:val="1"/>
        </w:numPr>
        <w:spacing w:before="0" w:after="9" w:line="271" w:lineRule="auto"/>
      </w:pPr>
      <w:r>
        <w:t xml:space="preserve">We acknowledged the role and activities of the AKC in promoting trade and investment flows, invigorating tourism and enriching cultural exchanges between ASEAN and the ROK, and contributing to the ASEAN-ROK CSP. </w:t>
      </w:r>
    </w:p>
    <w:p w14:paraId="0000004D" w14:textId="77777777" w:rsidR="00A42E48" w:rsidRDefault="00A42E48">
      <w:pPr>
        <w:spacing w:before="0" w:after="9" w:line="271" w:lineRule="auto"/>
        <w:ind w:left="720"/>
      </w:pPr>
    </w:p>
    <w:p w14:paraId="0000004E" w14:textId="77777777" w:rsidR="00A42E48" w:rsidRDefault="00000000">
      <w:pPr>
        <w:numPr>
          <w:ilvl w:val="0"/>
          <w:numId w:val="1"/>
        </w:numPr>
        <w:spacing w:before="0" w:after="9" w:line="271" w:lineRule="auto"/>
      </w:pPr>
      <w:r>
        <w:t xml:space="preserve">We </w:t>
      </w:r>
      <w:proofErr w:type="gramStart"/>
      <w:r>
        <w:t>acknowledged</w:t>
      </w:r>
      <w:proofErr w:type="gramEnd"/>
      <w:r>
        <w:t xml:space="preserve"> the work of the ASEAN Committee in Seoul that helps raise awareness of ASEAN and ASEAN-ROK relations, contributing to advancing the ASEAN-ROK CSP.  </w:t>
      </w:r>
    </w:p>
    <w:p w14:paraId="0000004F" w14:textId="77777777" w:rsidR="00A42E48" w:rsidRDefault="00A42E48">
      <w:pPr>
        <w:spacing w:before="0" w:after="9" w:line="271" w:lineRule="auto"/>
        <w:ind w:left="720"/>
      </w:pPr>
    </w:p>
    <w:p w14:paraId="00000050" w14:textId="77777777" w:rsidR="00A42E48" w:rsidRDefault="00000000">
      <w:pPr>
        <w:numPr>
          <w:ilvl w:val="0"/>
          <w:numId w:val="1"/>
        </w:numPr>
        <w:spacing w:before="0" w:after="9" w:line="271" w:lineRule="auto"/>
      </w:pPr>
      <w:r>
        <w:t xml:space="preserve">We took note </w:t>
      </w:r>
      <w:proofErr w:type="gramStart"/>
      <w:r>
        <w:t>over</w:t>
      </w:r>
      <w:proofErr w:type="gramEnd"/>
      <w:r>
        <w:t xml:space="preserve"> the recent developments regarding the Korean Peninsula and stressed the importance of resuming peaceful dialogue among all concerned parties </w:t>
      </w:r>
      <w:proofErr w:type="gramStart"/>
      <w:r>
        <w:t>in order to</w:t>
      </w:r>
      <w:proofErr w:type="gramEnd"/>
      <w:r>
        <w:t xml:space="preserve"> </w:t>
      </w:r>
      <w:proofErr w:type="spellStart"/>
      <w:r>
        <w:t>realise</w:t>
      </w:r>
      <w:proofErr w:type="spellEnd"/>
      <w:r>
        <w:t xml:space="preserve"> lasting peace and stability in a </w:t>
      </w:r>
      <w:proofErr w:type="spellStart"/>
      <w:r>
        <w:t>denuclearised</w:t>
      </w:r>
      <w:proofErr w:type="spellEnd"/>
      <w:r>
        <w:t xml:space="preserve"> Korean Peninsula. We expressed grave concern over the recent surge in the Democratic People’s Republic of Korea’s (DPRK) intercontinental testing and ballistic missile launches, which are worrisome developments that threaten peace and stability in the region. We called on the DPRK to comply fully with all relevant UNSC resolutions and continue working towards the </w:t>
      </w:r>
      <w:proofErr w:type="spellStart"/>
      <w:r>
        <w:t>realisation</w:t>
      </w:r>
      <w:proofErr w:type="spellEnd"/>
      <w:r>
        <w:t xml:space="preserve"> of lasting peace and stability in a </w:t>
      </w:r>
      <w:proofErr w:type="spellStart"/>
      <w:r>
        <w:t>denuclearised</w:t>
      </w:r>
      <w:proofErr w:type="spellEnd"/>
      <w:r>
        <w:t xml:space="preserve"> Korean Peninsula. We also called for the full implementation of all relevant UNSC resolutions and noted international efforts to bring about the complete </w:t>
      </w:r>
      <w:proofErr w:type="spellStart"/>
      <w:r>
        <w:t>denuclearisation</w:t>
      </w:r>
      <w:proofErr w:type="spellEnd"/>
      <w:r>
        <w:t xml:space="preserve"> of the Korean Peninsula in a peaceful manner. Diplomatic efforts, including the creation of a conducive environment for peaceful dialogue among all concerned parties, should remain a priority. In this vein, we expressed support for the ROK’s efforts to resume dialogue through proactive de-escalation and confidence-building measures, with the aim of achieving peaceful coexistence and shared growth on the Korean Peninsula through the expansion of </w:t>
      </w:r>
      <w:proofErr w:type="spellStart"/>
      <w:r>
        <w:t>interKorean</w:t>
      </w:r>
      <w:proofErr w:type="spellEnd"/>
      <w:r>
        <w:t xml:space="preserve"> exchanges, </w:t>
      </w:r>
      <w:proofErr w:type="spellStart"/>
      <w:r>
        <w:t>normalisation</w:t>
      </w:r>
      <w:proofErr w:type="spellEnd"/>
      <w:r>
        <w:t xml:space="preserve"> of relations, and advancing </w:t>
      </w:r>
      <w:proofErr w:type="spellStart"/>
      <w:r>
        <w:t>denuclearisation</w:t>
      </w:r>
      <w:proofErr w:type="spellEnd"/>
      <w:r>
        <w:t xml:space="preserve">. We reiterated our readiness to play a constructive role, including through ASEAN-led platforms such as the ASEAN Regional Forum (ARF), in promoting a conducive atmosphere for peaceful dialogue among the </w:t>
      </w:r>
      <w:proofErr w:type="gramStart"/>
      <w:r>
        <w:t>concerned parties</w:t>
      </w:r>
      <w:proofErr w:type="gramEnd"/>
      <w:r>
        <w:t xml:space="preserve">.  </w:t>
      </w:r>
    </w:p>
    <w:p w14:paraId="00000051" w14:textId="77777777" w:rsidR="00A42E48" w:rsidRDefault="00A42E48">
      <w:pPr>
        <w:spacing w:before="0" w:after="9" w:line="271" w:lineRule="auto"/>
        <w:ind w:left="720"/>
      </w:pPr>
    </w:p>
    <w:p w14:paraId="00000052" w14:textId="77777777" w:rsidR="00A42E48" w:rsidRDefault="00000000">
      <w:pPr>
        <w:numPr>
          <w:ilvl w:val="0"/>
          <w:numId w:val="1"/>
        </w:numPr>
        <w:spacing w:before="0" w:after="9" w:line="271" w:lineRule="auto"/>
      </w:pPr>
      <w:r>
        <w:t xml:space="preserve">We expressed our deep concern over the continued tensions in the Middle East and called on all parties involved to exercise utmost restraint, avoid actions which could aggravate the situation, and resolve differences through peaceful means, dialogue, and diplomacy in the interest of maintaining regional peace and stability. </w:t>
      </w:r>
    </w:p>
    <w:p w14:paraId="00000053" w14:textId="77777777" w:rsidR="00A42E48" w:rsidRDefault="00A42E48">
      <w:pPr>
        <w:spacing w:before="0" w:after="9" w:line="271" w:lineRule="auto"/>
        <w:ind w:left="720"/>
      </w:pPr>
    </w:p>
    <w:p w14:paraId="00000054" w14:textId="77777777" w:rsidR="00A42E48" w:rsidRDefault="00000000">
      <w:pPr>
        <w:numPr>
          <w:ilvl w:val="0"/>
          <w:numId w:val="1"/>
        </w:numPr>
        <w:spacing w:before="0" w:after="9" w:line="271" w:lineRule="auto"/>
      </w:pPr>
      <w:r>
        <w:t xml:space="preserve">We welcomed the agreement reached between the Islamic Resistance Movement (Hamas) and Israel on the first phase of the Comprehensive Plan to End the Gaza Conflict, announced by United States President Donald J. Trump in Sharm El-Sheikh, Egypt, on 8 October 2025, with a view to achieving a permanent cessation of hostilities. We commended the constructive efforts of the </w:t>
      </w:r>
      <w:r>
        <w:rPr>
          <w:color w:val="202020"/>
        </w:rPr>
        <w:t xml:space="preserve">United </w:t>
      </w:r>
      <w:r>
        <w:t>States of America, the Arab Republic of Egypt, the State of Qatar, and the Republic of Türkiye. We called upon all concerned parties to fully adhere to the agreed terms and urged for its comprehensive implementation.</w:t>
      </w:r>
      <w:r>
        <w:rPr>
          <w:b/>
          <w:bCs/>
        </w:rPr>
        <w:t xml:space="preserve"> </w:t>
      </w:r>
      <w:r>
        <w:t xml:space="preserve">We acknowledged that this development marks a crucial step towards ending the conflict, including preventing further suffering, loss of </w:t>
      </w:r>
      <w:r>
        <w:lastRenderedPageBreak/>
        <w:t xml:space="preserve">lives, forced displacement of people, ensuring the release of all hostages and detainees, ensuring full withdrawal of the Israeli forces, supporting the reconstruction of Gaza and </w:t>
      </w:r>
      <w:proofErr w:type="spellStart"/>
      <w:r>
        <w:t>realisation</w:t>
      </w:r>
      <w:proofErr w:type="spellEnd"/>
      <w:r>
        <w:t xml:space="preserve"> of the rights to self-determination and statehood for the Palestinian people. </w:t>
      </w:r>
    </w:p>
    <w:p w14:paraId="00000055" w14:textId="77777777" w:rsidR="00A42E48" w:rsidRDefault="00A42E48">
      <w:pPr>
        <w:spacing w:before="0" w:after="9" w:line="271" w:lineRule="auto"/>
        <w:ind w:left="720"/>
      </w:pPr>
    </w:p>
    <w:p w14:paraId="00000056" w14:textId="77777777" w:rsidR="00A42E48" w:rsidRDefault="00000000">
      <w:pPr>
        <w:numPr>
          <w:ilvl w:val="0"/>
          <w:numId w:val="1"/>
        </w:numPr>
        <w:spacing w:before="0" w:after="9" w:line="271" w:lineRule="auto"/>
      </w:pPr>
      <w:r>
        <w:t xml:space="preserve">We reaffirmed our strong support for the United Nations Relief and Works Agency for Palestine Refugees in the Near East (UNRWA) in carrying out its mandate. We called for the full resumption of rapid, safe, unimpeded, and sustained humanitarian access to all those in need, including through enhanced capacity at border crossings and sea routes. We urged all parties to the conflict to protect civilians and to abide by international humanitarian and human rights law. We </w:t>
      </w:r>
      <w:proofErr w:type="spellStart"/>
      <w:r>
        <w:t>emphasised</w:t>
      </w:r>
      <w:proofErr w:type="spellEnd"/>
      <w:r>
        <w:t xml:space="preserve"> the urgent need for a permanent ceasefire, the immediate, unimpeded, safe, and sustained delivery of humanitarian assistance to all affected communities – including through the strengthening of UNRWA’s role and mandate – and the immediate commencement of comprehensive reconstruction efforts in Gaza to rebuild lives and restore the dignity of the Palestinian people.  </w:t>
      </w:r>
    </w:p>
    <w:p w14:paraId="00000057" w14:textId="77777777" w:rsidR="00A42E48" w:rsidRDefault="00A42E48">
      <w:pPr>
        <w:spacing w:before="0" w:after="9" w:line="271" w:lineRule="auto"/>
        <w:ind w:left="720"/>
      </w:pPr>
    </w:p>
    <w:p w14:paraId="00000058" w14:textId="77777777" w:rsidR="00A42E48" w:rsidRDefault="00000000">
      <w:pPr>
        <w:numPr>
          <w:ilvl w:val="0"/>
          <w:numId w:val="1"/>
        </w:numPr>
        <w:spacing w:before="0" w:after="9" w:line="271" w:lineRule="auto"/>
      </w:pPr>
      <w:r>
        <w:t xml:space="preserve">We reaffirmed our longstanding support for the inalienable rights of the Palestinian people, including their right to self-determination and to their homeland. In this regard, we urged all parties concerned to work towards a peaceful resolution of the conflict, with a view to </w:t>
      </w:r>
      <w:proofErr w:type="spellStart"/>
      <w:r>
        <w:t>realising</w:t>
      </w:r>
      <w:proofErr w:type="spellEnd"/>
      <w:r>
        <w:t xml:space="preserve"> a two-State solution in accordance with international law and relevant UNSC and UNGA resolutions, including UNGA Resolution A/RES/ES-10/23 on the Admission of New Members to the United Nations (10 May 2024) and UNGA Decision A/DEC/80/506 on the Endorsement of the New York Declaration on the Peaceful Settlement of the Question of Palestine and the Implementation of the Two-State Solution (12 September 2025), both of which we supported. We also noted the Advisory Opinions of the International Court of Justice (ICJ) on the question of Palestine, including on The Obligations of Israel in relation to the Presence and Activities of the United Nations, Other International </w:t>
      </w:r>
      <w:proofErr w:type="spellStart"/>
      <w:r>
        <w:t>Organisations</w:t>
      </w:r>
      <w:proofErr w:type="spellEnd"/>
      <w:r>
        <w:t xml:space="preserve"> and Third States in and in relation to the Occupied Palestinian Territory, issued on 22 October 2025. </w:t>
      </w:r>
    </w:p>
    <w:p w14:paraId="00000059" w14:textId="77777777" w:rsidR="00A42E48" w:rsidRDefault="00A42E48">
      <w:pPr>
        <w:spacing w:before="0" w:after="9" w:line="271" w:lineRule="auto"/>
        <w:ind w:left="720"/>
      </w:pPr>
    </w:p>
    <w:p w14:paraId="0000005A" w14:textId="77777777" w:rsidR="00A42E48" w:rsidRDefault="00000000">
      <w:pPr>
        <w:numPr>
          <w:ilvl w:val="0"/>
          <w:numId w:val="1"/>
        </w:numPr>
        <w:spacing w:before="0" w:after="9" w:line="271" w:lineRule="auto"/>
      </w:pPr>
      <w:r>
        <w:t xml:space="preserve">We expressed our deep concern over the escalation of conflicts and humanitarian situation in Myanmar and urged progress on the implementation of the ASEAN’s Five-Point Consensus (5PC). We denounced the continued acts of violence against civilians, public facilities, and civilian infrastructures, and urged all parties involved to take concrete action to immediately halt indiscriminate violence, exercise utmost restraint, ensure the protection and safety of all civilians and civilian infrastructures, and create a conducive environment for the delivery of non-discriminatory humanitarian assistance and inclusive national dialogue. We also welcomed the continued progress in the provision of humanitarian assistance to Myanmar by the AHA Centre. </w:t>
      </w:r>
    </w:p>
    <w:p w14:paraId="0000005B" w14:textId="77777777" w:rsidR="00A42E48" w:rsidRDefault="00A42E48">
      <w:pPr>
        <w:spacing w:before="0" w:after="9" w:line="271" w:lineRule="auto"/>
        <w:ind w:left="720"/>
      </w:pPr>
    </w:p>
    <w:p w14:paraId="0000005C" w14:textId="77777777" w:rsidR="00A42E48" w:rsidRDefault="00000000">
      <w:pPr>
        <w:numPr>
          <w:ilvl w:val="0"/>
          <w:numId w:val="1"/>
        </w:numPr>
        <w:spacing w:before="0" w:after="9" w:line="271" w:lineRule="auto"/>
      </w:pPr>
      <w:r>
        <w:t xml:space="preserve">We commended the dedicated efforts of H.E. Tan Sri Othman Hashim as the Special Envoy of the ASEAN Chair on Myanmar. In carrying out his mandate, the Special Envoy has actively engaged a wide and diverse range of stakeholders through an inclusive approach, reflecting ASEAN’s commitment to collective efforts in addressing the complex challenges in Myanmar.  </w:t>
      </w:r>
    </w:p>
    <w:sectPr w:rsidR="00A42E48">
      <w:headerReference w:type="default" r:id="rId8"/>
      <w:footerReference w:type="default" r:id="rId9"/>
      <w:footerReference w:type="first" r:id="rId10"/>
      <w:pgSz w:w="11907" w:h="16839"/>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65691" w14:textId="77777777" w:rsidR="005F74EA" w:rsidRDefault="005F74EA">
      <w:pPr>
        <w:spacing w:before="0" w:after="0" w:line="240" w:lineRule="auto"/>
      </w:pPr>
      <w:r>
        <w:separator/>
      </w:r>
    </w:p>
  </w:endnote>
  <w:endnote w:type="continuationSeparator" w:id="0">
    <w:p w14:paraId="4922D40D" w14:textId="77777777" w:rsidR="005F74EA" w:rsidRDefault="005F74E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AF58BEF-9B26-4B0B-86BB-741A97B54232}"/>
    <w:embedBold r:id="rId2" w:fontKey="{01366038-AE63-4047-93AA-03F7BBAFAC31}"/>
    <w:embedItalic r:id="rId3" w:fontKey="{9B0DA6BA-6841-4EE2-B0F7-DCDD5AF1B04E}"/>
  </w:font>
  <w:font w:name="Calibri Light">
    <w:panose1 w:val="020F0302020204030204"/>
    <w:charset w:val="00"/>
    <w:family w:val="swiss"/>
    <w:pitch w:val="variable"/>
    <w:sig w:usb0="E4002EFF" w:usb1="C200247B" w:usb2="00000009" w:usb3="00000000" w:csb0="000001FF" w:csb1="00000000"/>
    <w:embedRegular r:id="rId4" w:fontKey="{7F264019-C8AB-4581-B720-F0DA559C5AB9}"/>
    <w:embedBold r:id="rId5" w:fontKey="{52BEFA3B-48AB-42AC-BB39-95BEC0758DFD}"/>
    <w:embedItalic r:id="rId6" w:fontKey="{36EF8AD1-CD0E-4E8E-936D-9B92674AB160}"/>
  </w:font>
  <w:font w:name="Times New Roman">
    <w:panose1 w:val="02020603050405020304"/>
    <w:charset w:val="00"/>
    <w:family w:val="roman"/>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notTrueType/>
    <w:pitch w:val="default"/>
    <w:embedRegular r:id="rId7" w:fontKey="{84B6475C-0595-488E-B7ED-09704459E955}"/>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roman"/>
    <w:notTrueType/>
    <w:pitch w:val="default"/>
    <w:embedRegular r:id="rId8" w:fontKey="{AEAF8D17-0CDF-412B-A487-94C5E2D1CEB6}"/>
  </w:font>
  <w:font w:name="Consolas">
    <w:panose1 w:val="020B0609020204030204"/>
    <w:charset w:val="00"/>
    <w:family w:val="roman"/>
    <w:notTrueType/>
    <w:pitch w:val="default"/>
    <w:embedRegular r:id="rId9" w:fontKey="{F0E192B8-5BCB-4291-856D-5DD20C0D0CF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F" w14:textId="77777777" w:rsidR="00A42E48" w:rsidRDefault="00A42E48">
    <w:pPr>
      <w:pBdr>
        <w:top w:val="nil"/>
        <w:left w:val="nil"/>
        <w:bottom w:val="nil"/>
        <w:right w:val="nil"/>
        <w:between w:val="nil"/>
      </w:pBdr>
      <w:tabs>
        <w:tab w:val="center" w:pos="4680"/>
        <w:tab w:val="right" w:pos="9360"/>
        <w:tab w:val="right" w:pos="8931"/>
      </w:tabs>
      <w:spacing w:before="0" w:after="0" w:line="240" w:lineRule="auto"/>
      <w:jc w:val="right"/>
      <w:rPr>
        <w:color w:val="000000"/>
      </w:rPr>
    </w:pPr>
  </w:p>
  <w:p w14:paraId="00000060" w14:textId="42176FC3" w:rsidR="00A42E48" w:rsidRDefault="00000000">
    <w:pPr>
      <w:pBdr>
        <w:top w:val="single" w:sz="4" w:space="7" w:color="000000"/>
        <w:left w:val="nil"/>
        <w:bottom w:val="nil"/>
        <w:right w:val="nil"/>
        <w:between w:val="nil"/>
      </w:pBdr>
      <w:tabs>
        <w:tab w:val="center" w:pos="4680"/>
        <w:tab w:val="right" w:pos="9360"/>
        <w:tab w:val="right" w:pos="8931"/>
      </w:tabs>
      <w:spacing w:before="0" w:after="0" w:line="240" w:lineRule="auto"/>
      <w:jc w:val="left"/>
      <w:rPr>
        <w:color w:val="7F7F7F"/>
        <w:sz w:val="16"/>
        <w:szCs w:val="16"/>
      </w:rPr>
    </w:pPr>
    <w:r>
      <w:rPr>
        <w:color w:val="7F7F7F"/>
        <w:sz w:val="16"/>
        <w:szCs w:val="16"/>
      </w:rPr>
      <w:t xml:space="preserve">UNOFFICIAL TEXT · CENTRE FOR INTERNATIONAL LAW · </w:t>
    </w:r>
    <w:hyperlink r:id="rId1">
      <w:r>
        <w:rPr>
          <w:color w:val="7F7F7F"/>
          <w:sz w:val="16"/>
          <w:szCs w:val="16"/>
          <w:u w:val="single"/>
        </w:rPr>
        <w:t>www.cil.nus.edu.sg</w:t>
      </w:r>
    </w:hyperlink>
    <w:r>
      <w:rPr>
        <w:color w:val="7F7F7F"/>
        <w:sz w:val="16"/>
        <w:szCs w:val="16"/>
      </w:rPr>
      <w:t xml:space="preserve">                           </w:t>
    </w:r>
    <w:r>
      <w:rPr>
        <w:color w:val="7F7F7F"/>
        <w:sz w:val="16"/>
        <w:szCs w:val="16"/>
      </w:rPr>
      <w:tab/>
      <w:t xml:space="preserve">     Page </w:t>
    </w:r>
    <w:r>
      <w:rPr>
        <w:color w:val="7F7F7F"/>
        <w:sz w:val="16"/>
        <w:szCs w:val="16"/>
      </w:rPr>
      <w:fldChar w:fldCharType="begin"/>
    </w:r>
    <w:r>
      <w:rPr>
        <w:color w:val="7F7F7F"/>
        <w:sz w:val="16"/>
        <w:szCs w:val="16"/>
      </w:rPr>
      <w:instrText>PAGE</w:instrText>
    </w:r>
    <w:r>
      <w:rPr>
        <w:color w:val="7F7F7F"/>
        <w:sz w:val="16"/>
        <w:szCs w:val="16"/>
      </w:rPr>
      <w:fldChar w:fldCharType="separate"/>
    </w:r>
    <w:r w:rsidR="004F04F1">
      <w:rPr>
        <w:noProof/>
        <w:color w:val="7F7F7F"/>
        <w:sz w:val="16"/>
        <w:szCs w:val="16"/>
      </w:rPr>
      <w:t>2</w:t>
    </w:r>
    <w:r>
      <w:rPr>
        <w:color w:val="7F7F7F"/>
        <w:sz w:val="16"/>
        <w:szCs w:val="16"/>
      </w:rPr>
      <w:fldChar w:fldCharType="end"/>
    </w:r>
    <w:r>
      <w:rPr>
        <w:color w:val="7F7F7F"/>
        <w:sz w:val="16"/>
        <w:szCs w:val="16"/>
      </w:rPr>
      <w:t xml:space="preserve"> of </w:t>
    </w:r>
    <w:r>
      <w:rPr>
        <w:color w:val="7F7F7F"/>
        <w:sz w:val="16"/>
        <w:szCs w:val="16"/>
      </w:rPr>
      <w:fldChar w:fldCharType="begin"/>
    </w:r>
    <w:r>
      <w:rPr>
        <w:color w:val="7F7F7F"/>
        <w:sz w:val="16"/>
        <w:szCs w:val="16"/>
      </w:rPr>
      <w:instrText>NUMPAGES</w:instrText>
    </w:r>
    <w:r>
      <w:rPr>
        <w:color w:val="7F7F7F"/>
        <w:sz w:val="16"/>
        <w:szCs w:val="16"/>
      </w:rPr>
      <w:fldChar w:fldCharType="separate"/>
    </w:r>
    <w:r w:rsidR="004F04F1">
      <w:rPr>
        <w:noProof/>
        <w:color w:val="7F7F7F"/>
        <w:sz w:val="16"/>
        <w:szCs w:val="16"/>
      </w:rPr>
      <w:t>3</w:t>
    </w:r>
    <w:r>
      <w:rPr>
        <w:color w:val="7F7F7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1" w14:textId="77777777" w:rsidR="00A42E48" w:rsidRDefault="00A42E48">
    <w:pPr>
      <w:pBdr>
        <w:top w:val="nil"/>
        <w:left w:val="nil"/>
        <w:bottom w:val="nil"/>
        <w:right w:val="nil"/>
        <w:between w:val="nil"/>
      </w:pBdr>
      <w:tabs>
        <w:tab w:val="center" w:pos="4680"/>
        <w:tab w:val="right" w:pos="9360"/>
        <w:tab w:val="right" w:pos="8931"/>
      </w:tabs>
      <w:spacing w:before="0" w:after="0" w:line="240" w:lineRule="auto"/>
      <w:jc w:val="right"/>
      <w:rPr>
        <w:color w:val="000000"/>
      </w:rPr>
    </w:pPr>
  </w:p>
  <w:p w14:paraId="00000062" w14:textId="77777777" w:rsidR="00A42E48" w:rsidRDefault="00000000">
    <w:pPr>
      <w:pBdr>
        <w:top w:val="single" w:sz="4" w:space="7" w:color="000000"/>
        <w:left w:val="nil"/>
        <w:bottom w:val="nil"/>
        <w:right w:val="nil"/>
        <w:between w:val="nil"/>
      </w:pBdr>
      <w:tabs>
        <w:tab w:val="center" w:pos="4680"/>
        <w:tab w:val="right" w:pos="9360"/>
        <w:tab w:val="right" w:pos="8931"/>
      </w:tabs>
      <w:spacing w:before="0" w:after="0" w:line="240" w:lineRule="auto"/>
      <w:jc w:val="left"/>
      <w:rPr>
        <w:color w:val="7F7F7F"/>
        <w:sz w:val="16"/>
        <w:szCs w:val="16"/>
      </w:rPr>
    </w:pPr>
    <w:r>
      <w:rPr>
        <w:color w:val="7F7F7F"/>
        <w:sz w:val="16"/>
        <w:szCs w:val="16"/>
      </w:rPr>
      <w:t xml:space="preserve">UNOFFICIAL TEXT · CENTRE FOR INTERNATIONAL LAW · </w:t>
    </w:r>
    <w:hyperlink r:id="rId1">
      <w:r>
        <w:rPr>
          <w:color w:val="7F7F7F"/>
          <w:sz w:val="16"/>
          <w:szCs w:val="16"/>
          <w:u w:val="single"/>
        </w:rPr>
        <w:t>www.cil.nus.edu.sg</w:t>
      </w:r>
    </w:hyperlink>
    <w:r>
      <w:rPr>
        <w:color w:val="7F7F7F"/>
        <w:sz w:val="16"/>
        <w:szCs w:val="16"/>
      </w:rPr>
      <w:t xml:space="preserve">                           </w:t>
    </w:r>
    <w:r>
      <w:rPr>
        <w:color w:val="7F7F7F"/>
        <w:sz w:val="16"/>
        <w:szCs w:val="1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2EC1" w14:textId="77777777" w:rsidR="005F74EA" w:rsidRDefault="005F74EA">
      <w:pPr>
        <w:spacing w:before="0" w:after="0" w:line="240" w:lineRule="auto"/>
      </w:pPr>
      <w:r>
        <w:separator/>
      </w:r>
    </w:p>
  </w:footnote>
  <w:footnote w:type="continuationSeparator" w:id="0">
    <w:p w14:paraId="5FC4F997" w14:textId="77777777" w:rsidR="005F74EA" w:rsidRDefault="005F74EA">
      <w:pPr>
        <w:spacing w:before="0" w:after="0" w:line="240" w:lineRule="auto"/>
      </w:pPr>
      <w:r>
        <w:continuationSeparator/>
      </w:r>
    </w:p>
  </w:footnote>
  <w:footnote w:id="1">
    <w:p w14:paraId="0000005D" w14:textId="77777777" w:rsidR="00A42E48" w:rsidRDefault="00000000">
      <w:pPr>
        <w:pBdr>
          <w:top w:val="nil"/>
          <w:left w:val="nil"/>
          <w:bottom w:val="nil"/>
          <w:right w:val="nil"/>
          <w:between w:val="nil"/>
        </w:pBdr>
        <w:spacing w:before="0" w:after="0" w:line="259" w:lineRule="auto"/>
        <w:jc w:val="left"/>
        <w:rPr>
          <w:color w:val="000000"/>
          <w:sz w:val="16"/>
          <w:szCs w:val="16"/>
        </w:rPr>
      </w:pPr>
      <w:r>
        <w:rPr>
          <w:rStyle w:val="FootnoteReference"/>
        </w:rPr>
        <w:footnoteRef/>
      </w:r>
      <w:r>
        <w:rPr>
          <w:color w:val="000000"/>
          <w:sz w:val="16"/>
          <w:szCs w:val="16"/>
        </w:rPr>
        <w:t xml:space="preserve"> ASEAN Statistics, IMTS data as of 15 July 2025.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E" w14:textId="77777777" w:rsidR="00A42E48" w:rsidRDefault="00000000">
    <w:pPr>
      <w:pBdr>
        <w:top w:val="nil"/>
        <w:left w:val="nil"/>
        <w:bottom w:val="single" w:sz="4" w:space="1" w:color="000000"/>
        <w:right w:val="nil"/>
        <w:between w:val="nil"/>
      </w:pBdr>
      <w:tabs>
        <w:tab w:val="center" w:pos="4680"/>
        <w:tab w:val="right" w:pos="9360"/>
      </w:tabs>
      <w:spacing w:before="0" w:after="0" w:line="240" w:lineRule="auto"/>
      <w:rPr>
        <w:smallCaps/>
        <w:color w:val="808080"/>
        <w:sz w:val="16"/>
        <w:szCs w:val="16"/>
      </w:rPr>
    </w:pPr>
    <w:r>
      <w:rPr>
        <w:smallCaps/>
        <w:color w:val="808080"/>
        <w:sz w:val="16"/>
        <w:szCs w:val="16"/>
      </w:rPr>
      <w:t>2025 CHAIRMAN’S STATEMENT 26</w:t>
    </w:r>
    <w:r>
      <w:rPr>
        <w:smallCaps/>
        <w:color w:val="808080"/>
        <w:sz w:val="16"/>
        <w:szCs w:val="16"/>
        <w:vertAlign w:val="superscript"/>
      </w:rPr>
      <w:t>TH</w:t>
    </w:r>
    <w:r>
      <w:rPr>
        <w:smallCaps/>
        <w:color w:val="808080"/>
        <w:sz w:val="16"/>
        <w:szCs w:val="16"/>
      </w:rPr>
      <w:t xml:space="preserve"> ASEAN-ROK SUMMIT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B7D05"/>
    <w:multiLevelType w:val="multilevel"/>
    <w:tmpl w:val="A4946A34"/>
    <w:lvl w:ilvl="0">
      <w:start w:val="1"/>
      <w:numFmt w:val="decimal"/>
      <w:lvlText w:val="%1."/>
      <w:lvlJc w:val="left"/>
      <w:pPr>
        <w:ind w:left="720" w:hanging="720"/>
      </w:pPr>
      <w:rPr>
        <w:rFonts w:ascii="Arial" w:eastAsia="Arial" w:hAnsi="Arial" w:cs="Arial"/>
        <w:b w:val="0"/>
        <w:bCs w:val="0"/>
        <w:i w:val="0"/>
        <w:iCs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Arial" w:eastAsia="Arial" w:hAnsi="Arial" w:cs="Arial"/>
        <w:b w:val="0"/>
        <w:bCs w:val="0"/>
        <w:i w:val="0"/>
        <w:iCs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Arial" w:eastAsia="Arial" w:hAnsi="Arial" w:cs="Arial"/>
        <w:b w:val="0"/>
        <w:bCs w:val="0"/>
        <w:i w:val="0"/>
        <w:iCs w:val="0"/>
        <w:strike w:val="0"/>
        <w:color w:val="000000"/>
        <w:sz w:val="24"/>
        <w:szCs w:val="24"/>
        <w:u w:val="none"/>
        <w:shd w:val="clear" w:color="auto" w:fill="auto"/>
        <w:vertAlign w:val="baseline"/>
      </w:rPr>
    </w:lvl>
    <w:lvl w:ilvl="3">
      <w:start w:val="1"/>
      <w:numFmt w:val="decimal"/>
      <w:lvlText w:val="%4"/>
      <w:lvlJc w:val="left"/>
      <w:pPr>
        <w:ind w:left="2520" w:hanging="2520"/>
      </w:pPr>
      <w:rPr>
        <w:rFonts w:ascii="Arial" w:eastAsia="Arial" w:hAnsi="Arial" w:cs="Arial"/>
        <w:b w:val="0"/>
        <w:bCs w:val="0"/>
        <w:i w:val="0"/>
        <w:iCs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Arial" w:eastAsia="Arial" w:hAnsi="Arial" w:cs="Arial"/>
        <w:b w:val="0"/>
        <w:bCs w:val="0"/>
        <w:i w:val="0"/>
        <w:iCs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Arial" w:eastAsia="Arial" w:hAnsi="Arial" w:cs="Arial"/>
        <w:b w:val="0"/>
        <w:bCs w:val="0"/>
        <w:i w:val="0"/>
        <w:iCs w:val="0"/>
        <w:strike w:val="0"/>
        <w:color w:val="000000"/>
        <w:sz w:val="24"/>
        <w:szCs w:val="24"/>
        <w:u w:val="none"/>
        <w:shd w:val="clear" w:color="auto" w:fill="auto"/>
        <w:vertAlign w:val="baseline"/>
      </w:rPr>
    </w:lvl>
    <w:lvl w:ilvl="6">
      <w:start w:val="1"/>
      <w:numFmt w:val="decimal"/>
      <w:lvlText w:val="%7"/>
      <w:lvlJc w:val="left"/>
      <w:pPr>
        <w:ind w:left="4680" w:hanging="4680"/>
      </w:pPr>
      <w:rPr>
        <w:rFonts w:ascii="Arial" w:eastAsia="Arial" w:hAnsi="Arial" w:cs="Arial"/>
        <w:b w:val="0"/>
        <w:bCs w:val="0"/>
        <w:i w:val="0"/>
        <w:iCs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Arial" w:eastAsia="Arial" w:hAnsi="Arial" w:cs="Arial"/>
        <w:b w:val="0"/>
        <w:bCs w:val="0"/>
        <w:i w:val="0"/>
        <w:iCs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Arial" w:eastAsia="Arial" w:hAnsi="Arial" w:cs="Arial"/>
        <w:b w:val="0"/>
        <w:bCs w:val="0"/>
        <w:i w:val="0"/>
        <w:iCs w:val="0"/>
        <w:strike w:val="0"/>
        <w:color w:val="000000"/>
        <w:sz w:val="24"/>
        <w:szCs w:val="24"/>
        <w:u w:val="none"/>
        <w:shd w:val="clear" w:color="auto" w:fill="auto"/>
        <w:vertAlign w:val="baseline"/>
      </w:rPr>
    </w:lvl>
  </w:abstractNum>
  <w:abstractNum w:abstractNumId="1" w15:restartNumberingAfterBreak="0">
    <w:nsid w:val="638128CF"/>
    <w:multiLevelType w:val="multilevel"/>
    <w:tmpl w:val="9CE0D97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48853952">
    <w:abstractNumId w:val="0"/>
  </w:num>
  <w:num w:numId="2" w16cid:durableId="1898667732">
    <w:abstractNumId w:val="1"/>
  </w:num>
  <w:num w:numId="3" w16cid:durableId="10636725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58175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40750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99131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715459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033935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481988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04595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660477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E48"/>
    <w:rsid w:val="003E2E72"/>
    <w:rsid w:val="004F04F1"/>
    <w:rsid w:val="005F74EA"/>
    <w:rsid w:val="00A42E48"/>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871B0"/>
  <w15:docId w15:val="{01A96A4D-26D3-4F41-B546-B783183A5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 w:eastAsia="en-SG" w:bidi="ar-SA"/>
      </w:rPr>
    </w:rPrDefault>
    <w:pPrDefault>
      <w:pPr>
        <w:spacing w:before="240"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60"/>
      <w:jc w:val="center"/>
      <w:outlineLvl w:val="0"/>
    </w:pPr>
    <w:rPr>
      <w:b/>
      <w:bCs/>
      <w:smallCaps/>
      <w:sz w:val="28"/>
      <w:szCs w:val="28"/>
    </w:rPr>
  </w:style>
  <w:style w:type="paragraph" w:styleId="Heading2">
    <w:name w:val="heading 2"/>
    <w:basedOn w:val="Normal"/>
    <w:next w:val="Normal"/>
    <w:link w:val="Heading2Char"/>
    <w:uiPriority w:val="9"/>
    <w:semiHidden/>
    <w:unhideWhenUsed/>
    <w:qFormat/>
    <w:pPr>
      <w:jc w:val="center"/>
      <w:outlineLvl w:val="1"/>
    </w:pPr>
    <w:rPr>
      <w:b/>
      <w:bCs/>
      <w:smallCaps/>
    </w:rPr>
  </w:style>
  <w:style w:type="paragraph" w:styleId="Heading3">
    <w:name w:val="heading 3"/>
    <w:basedOn w:val="Normal"/>
    <w:next w:val="Normal"/>
    <w:link w:val="Heading3Char"/>
    <w:uiPriority w:val="9"/>
    <w:semiHidden/>
    <w:unhideWhenUsed/>
    <w:qFormat/>
    <w:pPr>
      <w:outlineLvl w:val="2"/>
    </w:pPr>
    <w:rPr>
      <w:u w:val="single"/>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Calibri" w:eastAsia="Calibri" w:hAnsi="Calibri" w:cs="Calibri"/>
      <w:i/>
      <w:iCs/>
      <w:color w:val="2E75B5"/>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Calibri" w:eastAsia="Calibri" w:hAnsi="Calibri" w:cs="Calibri"/>
      <w:color w:val="2E75B5"/>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Calibri" w:eastAsia="Calibri" w:hAnsi="Calibri" w:cs="Calibri"/>
      <w:color w:val="1E4D78"/>
    </w:rPr>
  </w:style>
  <w:style w:type="paragraph" w:styleId="Heading7">
    <w:name w:val="heading 7"/>
    <w:basedOn w:val="Normal"/>
    <w:next w:val="Normal"/>
    <w:link w:val="Heading7Char"/>
    <w:uiPriority w:val="9"/>
    <w:semiHidden/>
    <w:unhideWhenUsed/>
    <w:qFormat/>
    <w:rsid w:val="0015514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5514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5514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jc w:val="center"/>
    </w:pPr>
    <w:rPr>
      <w:rFonts w:ascii="Calibri" w:eastAsia="Calibri" w:hAnsi="Calibri" w:cs="Calibri"/>
      <w:b/>
      <w:bCs/>
      <w:smallCaps/>
      <w:sz w:val="28"/>
      <w:szCs w:val="28"/>
    </w:rPr>
  </w:style>
  <w:style w:type="paragraph" w:customStyle="1" w:styleId="CIL1Heading">
    <w:name w:val="CIL 1 Heading"/>
    <w:basedOn w:val="Heading1"/>
    <w:autoRedefine/>
    <w:rsid w:val="00A359D5"/>
    <w:pPr>
      <w:keepLines w:val="0"/>
      <w:outlineLvl w:val="9"/>
    </w:pPr>
    <w:rPr>
      <w:rFonts w:eastAsia="Batang"/>
      <w:kern w:val="32"/>
      <w:szCs w:val="32"/>
      <w:lang w:val="en-GB" w:eastAsia="ko-KR"/>
    </w:rPr>
  </w:style>
  <w:style w:type="character" w:customStyle="1" w:styleId="Heading1Char">
    <w:name w:val="Heading 1 Char"/>
    <w:link w:val="Heading1"/>
    <w:uiPriority w:val="9"/>
    <w:rsid w:val="0040043F"/>
    <w:rPr>
      <w:rFonts w:ascii="Arial" w:eastAsia="Times New Roman" w:hAnsi="Arial"/>
      <w:b/>
      <w:bCs/>
      <w:caps/>
      <w:sz w:val="28"/>
      <w:szCs w:val="28"/>
      <w:lang w:val="en-US" w:eastAsia="en-US"/>
    </w:rPr>
  </w:style>
  <w:style w:type="paragraph" w:customStyle="1" w:styleId="CIL2Heading">
    <w:name w:val="CIL 2 Heading"/>
    <w:basedOn w:val="Heading2"/>
    <w:autoRedefine/>
    <w:rsid w:val="00A359D5"/>
    <w:rPr>
      <w:rFonts w:eastAsia="Batang"/>
      <w:b w:val="0"/>
      <w:iCs/>
      <w:szCs w:val="28"/>
      <w:lang w:val="en-GB" w:eastAsia="ko-KR"/>
    </w:rPr>
  </w:style>
  <w:style w:type="character" w:customStyle="1" w:styleId="Heading2Char">
    <w:name w:val="Heading 2 Char"/>
    <w:link w:val="Heading2"/>
    <w:uiPriority w:val="9"/>
    <w:rsid w:val="00996773"/>
    <w:rPr>
      <w:rFonts w:ascii="Arial" w:hAnsi="Arial"/>
      <w:b/>
      <w:bCs/>
      <w:caps/>
      <w:szCs w:val="26"/>
      <w:lang w:val="en-US" w:eastAsia="en-US"/>
    </w:rPr>
  </w:style>
  <w:style w:type="paragraph" w:customStyle="1" w:styleId="CILFooter">
    <w:name w:val="CIL Footer"/>
    <w:basedOn w:val="Normal"/>
    <w:link w:val="CILFooterChar"/>
    <w:qFormat/>
    <w:rsid w:val="001142FA"/>
    <w:pPr>
      <w:pBdr>
        <w:top w:val="single" w:sz="4" w:space="8" w:color="auto"/>
      </w:pBdr>
      <w:tabs>
        <w:tab w:val="center" w:pos="4680"/>
        <w:tab w:val="right" w:pos="9360"/>
      </w:tabs>
      <w:jc w:val="center"/>
    </w:pPr>
    <w:rPr>
      <w:rFonts w:eastAsia="Batang"/>
      <w:color w:val="808080"/>
      <w:sz w:val="16"/>
      <w:szCs w:val="16"/>
      <w:lang w:val="en-GB" w:eastAsia="ko-KR"/>
    </w:rPr>
  </w:style>
  <w:style w:type="character" w:customStyle="1" w:styleId="CILFooterChar">
    <w:name w:val="CIL Footer Char"/>
    <w:link w:val="CILFooter"/>
    <w:rsid w:val="001142FA"/>
    <w:rPr>
      <w:rFonts w:ascii="Arial" w:eastAsia="Batang" w:hAnsi="Arial" w:cs="Arial"/>
      <w:color w:val="808080"/>
      <w:sz w:val="16"/>
      <w:szCs w:val="16"/>
      <w:lang w:val="en-GB" w:eastAsia="ko-KR"/>
    </w:rPr>
  </w:style>
  <w:style w:type="paragraph" w:customStyle="1" w:styleId="CILparagraph">
    <w:name w:val="CIL paragraph"/>
    <w:basedOn w:val="Normal"/>
    <w:autoRedefine/>
    <w:rsid w:val="001207E1"/>
    <w:pPr>
      <w:contextualSpacing/>
    </w:pPr>
    <w:rPr>
      <w:rFonts w:eastAsia="Batang"/>
      <w:szCs w:val="24"/>
      <w:lang w:val="en-GB" w:eastAsia="ko-KR"/>
    </w:rPr>
  </w:style>
  <w:style w:type="paragraph" w:customStyle="1" w:styleId="CILSubtitle">
    <w:name w:val="CIL Subtitle"/>
    <w:basedOn w:val="Normal"/>
    <w:link w:val="CILSubtitleChar"/>
    <w:autoRedefine/>
    <w:qFormat/>
    <w:rsid w:val="00AB7A69"/>
    <w:pPr>
      <w:jc w:val="center"/>
    </w:pPr>
    <w:rPr>
      <w:rFonts w:eastAsia="Batang"/>
      <w:i/>
      <w:szCs w:val="24"/>
      <w:lang w:val="en-GB" w:eastAsia="ko-KR"/>
    </w:rPr>
  </w:style>
  <w:style w:type="character" w:customStyle="1" w:styleId="CILSubtitleChar">
    <w:name w:val="CIL Subtitle Char"/>
    <w:link w:val="CILSubtitle"/>
    <w:rsid w:val="00AB7A69"/>
    <w:rPr>
      <w:rFonts w:ascii="Arial" w:eastAsia="Batang" w:hAnsi="Arial" w:cs="Arial"/>
      <w:i/>
      <w:szCs w:val="24"/>
      <w:lang w:eastAsia="ko-KR"/>
    </w:rPr>
  </w:style>
  <w:style w:type="paragraph" w:customStyle="1" w:styleId="CILTitle">
    <w:name w:val="CIL Title"/>
    <w:basedOn w:val="Normal"/>
    <w:autoRedefine/>
    <w:qFormat/>
    <w:rsid w:val="00A359D5"/>
    <w:pPr>
      <w:jc w:val="center"/>
    </w:pPr>
    <w:rPr>
      <w:rFonts w:eastAsia="Batang"/>
      <w:b/>
      <w:bCs/>
      <w:caps/>
      <w:kern w:val="32"/>
      <w:sz w:val="28"/>
      <w:szCs w:val="32"/>
      <w:lang w:val="en-GB" w:eastAsia="ko-KR"/>
    </w:rPr>
  </w:style>
  <w:style w:type="character" w:customStyle="1" w:styleId="Heading3Char">
    <w:name w:val="Heading 3 Char"/>
    <w:link w:val="Heading3"/>
    <w:uiPriority w:val="9"/>
    <w:rsid w:val="00AB7A69"/>
    <w:rPr>
      <w:rFonts w:ascii="Arial" w:hAnsi="Arial"/>
      <w:u w:val="single"/>
      <w:lang w:val="en-US" w:eastAsia="en-US"/>
    </w:rPr>
  </w:style>
  <w:style w:type="paragraph" w:customStyle="1" w:styleId="CILL1TOC">
    <w:name w:val="CIL L1 TOC"/>
    <w:basedOn w:val="TOC1"/>
    <w:autoRedefine/>
    <w:rsid w:val="0042562D"/>
    <w:pPr>
      <w:tabs>
        <w:tab w:val="right" w:leader="dot" w:pos="9350"/>
      </w:tabs>
      <w:spacing w:before="120" w:after="120" w:line="360" w:lineRule="auto"/>
    </w:pPr>
    <w:rPr>
      <w:noProof/>
    </w:rPr>
  </w:style>
  <w:style w:type="paragraph" w:styleId="TOC1">
    <w:name w:val="toc 1"/>
    <w:basedOn w:val="Normal"/>
    <w:next w:val="Normal"/>
    <w:autoRedefine/>
    <w:uiPriority w:val="39"/>
    <w:unhideWhenUsed/>
    <w:rsid w:val="00AB7A69"/>
    <w:pPr>
      <w:spacing w:before="60" w:after="60"/>
    </w:pPr>
    <w:rPr>
      <w:caps/>
    </w:rPr>
  </w:style>
  <w:style w:type="paragraph" w:customStyle="1" w:styleId="Style1">
    <w:name w:val="Style1"/>
    <w:basedOn w:val="TOC2"/>
    <w:autoRedefine/>
    <w:rsid w:val="0042562D"/>
    <w:pPr>
      <w:tabs>
        <w:tab w:val="right" w:leader="dot" w:pos="9350"/>
      </w:tabs>
      <w:spacing w:line="360" w:lineRule="auto"/>
      <w:ind w:left="202"/>
    </w:pPr>
    <w:rPr>
      <w:noProof/>
    </w:rPr>
  </w:style>
  <w:style w:type="paragraph" w:styleId="TOC2">
    <w:name w:val="toc 2"/>
    <w:basedOn w:val="Heading2"/>
    <w:next w:val="Normal"/>
    <w:autoRedefine/>
    <w:uiPriority w:val="39"/>
    <w:unhideWhenUsed/>
    <w:rsid w:val="009C1F90"/>
    <w:pPr>
      <w:spacing w:before="60" w:after="60"/>
      <w:ind w:left="284"/>
      <w:jc w:val="left"/>
      <w:outlineLvl w:val="0"/>
    </w:pPr>
    <w:rPr>
      <w:b w:val="0"/>
    </w:rPr>
  </w:style>
  <w:style w:type="paragraph" w:customStyle="1" w:styleId="CILL2TOC">
    <w:name w:val="CIL L2 TOC"/>
    <w:basedOn w:val="TOC2"/>
    <w:autoRedefine/>
    <w:rsid w:val="0042562D"/>
    <w:pPr>
      <w:tabs>
        <w:tab w:val="right" w:leader="dot" w:pos="9350"/>
      </w:tabs>
      <w:spacing w:line="360" w:lineRule="auto"/>
      <w:ind w:left="202"/>
    </w:pPr>
    <w:rPr>
      <w:noProof/>
    </w:rPr>
  </w:style>
  <w:style w:type="paragraph" w:customStyle="1" w:styleId="CILParagraph0">
    <w:name w:val="CIL Paragraph"/>
    <w:basedOn w:val="Normal"/>
    <w:next w:val="Normal"/>
    <w:autoRedefine/>
    <w:rsid w:val="00642035"/>
  </w:style>
  <w:style w:type="paragraph" w:customStyle="1" w:styleId="CILMain">
    <w:name w:val="CIL Main"/>
    <w:autoRedefine/>
    <w:rsid w:val="00025831"/>
    <w:rPr>
      <w:lang w:val="en-US" w:eastAsia="en-US"/>
    </w:rPr>
  </w:style>
  <w:style w:type="character" w:customStyle="1" w:styleId="SubtitleChar">
    <w:name w:val="Subtitle Char"/>
    <w:link w:val="Subtitle"/>
    <w:uiPriority w:val="11"/>
    <w:rsid w:val="00311F81"/>
    <w:rPr>
      <w:rFonts w:eastAsia="Times New Roman" w:cs="Times New Roman"/>
      <w:i/>
      <w:szCs w:val="24"/>
      <w:lang w:val="en-GB" w:eastAsia="ko-KR"/>
    </w:rPr>
  </w:style>
  <w:style w:type="character" w:customStyle="1" w:styleId="TitleChar">
    <w:name w:val="Title Char"/>
    <w:link w:val="Title"/>
    <w:uiPriority w:val="10"/>
    <w:rsid w:val="00311F81"/>
    <w:rPr>
      <w:rFonts w:eastAsia="Times New Roman" w:cs="Times New Roman"/>
      <w:b/>
      <w:bCs/>
      <w:caps/>
      <w:kern w:val="28"/>
      <w:sz w:val="28"/>
      <w:szCs w:val="32"/>
      <w:lang w:val="en-GB" w:eastAsia="ko-KR"/>
    </w:rPr>
  </w:style>
  <w:style w:type="paragraph" w:styleId="Header">
    <w:name w:val="header"/>
    <w:basedOn w:val="Normal"/>
    <w:link w:val="HeaderChar"/>
    <w:uiPriority w:val="99"/>
    <w:unhideWhenUsed/>
    <w:rsid w:val="00F61B4F"/>
    <w:pPr>
      <w:tabs>
        <w:tab w:val="center" w:pos="4680"/>
        <w:tab w:val="right" w:pos="9360"/>
      </w:tabs>
      <w:spacing w:before="0" w:after="0" w:line="240" w:lineRule="auto"/>
    </w:pPr>
  </w:style>
  <w:style w:type="character" w:customStyle="1" w:styleId="HeaderChar">
    <w:name w:val="Header Char"/>
    <w:link w:val="Header"/>
    <w:uiPriority w:val="99"/>
    <w:rsid w:val="00F61B4F"/>
    <w:rPr>
      <w:rFonts w:ascii="Arial" w:hAnsi="Arial"/>
    </w:rPr>
  </w:style>
  <w:style w:type="paragraph" w:styleId="Footer">
    <w:name w:val="footer"/>
    <w:basedOn w:val="Normal"/>
    <w:link w:val="FooterChar"/>
    <w:uiPriority w:val="99"/>
    <w:unhideWhenUsed/>
    <w:rsid w:val="00F61B4F"/>
    <w:pPr>
      <w:tabs>
        <w:tab w:val="center" w:pos="4680"/>
        <w:tab w:val="right" w:pos="9360"/>
      </w:tabs>
      <w:spacing w:before="0" w:after="0" w:line="240" w:lineRule="auto"/>
    </w:pPr>
  </w:style>
  <w:style w:type="character" w:customStyle="1" w:styleId="FooterChar">
    <w:name w:val="Footer Char"/>
    <w:link w:val="Footer"/>
    <w:uiPriority w:val="99"/>
    <w:rsid w:val="00F61B4F"/>
    <w:rPr>
      <w:rFonts w:ascii="Arial" w:hAnsi="Arial"/>
    </w:rPr>
  </w:style>
  <w:style w:type="character" w:styleId="Hyperlink">
    <w:name w:val="Hyperlink"/>
    <w:uiPriority w:val="99"/>
    <w:unhideWhenUsed/>
    <w:rsid w:val="00F61B4F"/>
    <w:rPr>
      <w:color w:val="0000FF"/>
      <w:u w:val="single"/>
    </w:rPr>
  </w:style>
  <w:style w:type="paragraph" w:styleId="TOCHeading">
    <w:name w:val="TOC Heading"/>
    <w:basedOn w:val="Heading1"/>
    <w:next w:val="Normal"/>
    <w:uiPriority w:val="39"/>
    <w:unhideWhenUsed/>
    <w:qFormat/>
    <w:rsid w:val="00AB7A69"/>
    <w:pPr>
      <w:spacing w:after="0" w:line="259" w:lineRule="auto"/>
      <w:jc w:val="left"/>
      <w:outlineLvl w:val="9"/>
    </w:pPr>
    <w:rPr>
      <w:rFonts w:ascii="Calibri Light" w:hAnsi="Calibri Light"/>
      <w:b w:val="0"/>
      <w:bCs w:val="0"/>
      <w:color w:val="2E74B5"/>
      <w:sz w:val="32"/>
      <w:szCs w:val="32"/>
    </w:rPr>
  </w:style>
  <w:style w:type="paragraph" w:styleId="TOC3">
    <w:name w:val="toc 3"/>
    <w:basedOn w:val="Heading3"/>
    <w:next w:val="Normal"/>
    <w:autoRedefine/>
    <w:uiPriority w:val="39"/>
    <w:unhideWhenUsed/>
    <w:rsid w:val="009C1F90"/>
    <w:pPr>
      <w:spacing w:before="60" w:after="60"/>
      <w:ind w:left="567"/>
    </w:pPr>
    <w:rPr>
      <w:caps/>
      <w:u w:val="none"/>
    </w:rPr>
  </w:style>
  <w:style w:type="paragraph" w:styleId="TOC4">
    <w:name w:val="toc 4"/>
    <w:basedOn w:val="Normal"/>
    <w:next w:val="Normal"/>
    <w:autoRedefine/>
    <w:uiPriority w:val="39"/>
    <w:unhideWhenUsed/>
    <w:rsid w:val="00A27F6D"/>
    <w:pPr>
      <w:spacing w:before="0" w:after="0" w:line="240" w:lineRule="auto"/>
      <w:ind w:left="720"/>
      <w:jc w:val="left"/>
    </w:pPr>
    <w:rPr>
      <w:rFonts w:ascii="Cambria" w:eastAsia="MS Mincho" w:hAnsi="Cambria"/>
      <w:sz w:val="24"/>
      <w:szCs w:val="24"/>
    </w:rPr>
  </w:style>
  <w:style w:type="paragraph" w:styleId="TOC5">
    <w:name w:val="toc 5"/>
    <w:basedOn w:val="Normal"/>
    <w:next w:val="Normal"/>
    <w:autoRedefine/>
    <w:uiPriority w:val="39"/>
    <w:unhideWhenUsed/>
    <w:rsid w:val="00A27F6D"/>
    <w:pPr>
      <w:spacing w:before="0" w:after="0" w:line="240" w:lineRule="auto"/>
      <w:ind w:left="960"/>
      <w:jc w:val="left"/>
    </w:pPr>
    <w:rPr>
      <w:rFonts w:ascii="Cambria" w:eastAsia="MS Mincho" w:hAnsi="Cambria"/>
      <w:sz w:val="24"/>
      <w:szCs w:val="24"/>
    </w:rPr>
  </w:style>
  <w:style w:type="paragraph" w:styleId="TOC6">
    <w:name w:val="toc 6"/>
    <w:basedOn w:val="Normal"/>
    <w:next w:val="Normal"/>
    <w:autoRedefine/>
    <w:uiPriority w:val="39"/>
    <w:unhideWhenUsed/>
    <w:rsid w:val="00A27F6D"/>
    <w:pPr>
      <w:spacing w:before="0" w:after="0" w:line="240" w:lineRule="auto"/>
      <w:ind w:left="1200"/>
      <w:jc w:val="left"/>
    </w:pPr>
    <w:rPr>
      <w:rFonts w:ascii="Cambria" w:eastAsia="MS Mincho" w:hAnsi="Cambria"/>
      <w:sz w:val="24"/>
      <w:szCs w:val="24"/>
    </w:rPr>
  </w:style>
  <w:style w:type="paragraph" w:styleId="TOC7">
    <w:name w:val="toc 7"/>
    <w:basedOn w:val="Normal"/>
    <w:next w:val="Normal"/>
    <w:autoRedefine/>
    <w:uiPriority w:val="39"/>
    <w:unhideWhenUsed/>
    <w:rsid w:val="00A27F6D"/>
    <w:pPr>
      <w:spacing w:before="0" w:after="0" w:line="240" w:lineRule="auto"/>
      <w:ind w:left="1440"/>
      <w:jc w:val="left"/>
    </w:pPr>
    <w:rPr>
      <w:rFonts w:ascii="Cambria" w:eastAsia="MS Mincho" w:hAnsi="Cambria"/>
      <w:sz w:val="24"/>
      <w:szCs w:val="24"/>
    </w:rPr>
  </w:style>
  <w:style w:type="paragraph" w:styleId="TOC8">
    <w:name w:val="toc 8"/>
    <w:basedOn w:val="Normal"/>
    <w:next w:val="Normal"/>
    <w:autoRedefine/>
    <w:uiPriority w:val="39"/>
    <w:unhideWhenUsed/>
    <w:rsid w:val="00A27F6D"/>
    <w:pPr>
      <w:spacing w:before="0" w:after="0" w:line="240" w:lineRule="auto"/>
      <w:ind w:left="1680"/>
      <w:jc w:val="left"/>
    </w:pPr>
    <w:rPr>
      <w:rFonts w:ascii="Cambria" w:eastAsia="MS Mincho" w:hAnsi="Cambria"/>
      <w:sz w:val="24"/>
      <w:szCs w:val="24"/>
    </w:rPr>
  </w:style>
  <w:style w:type="paragraph" w:styleId="TOC9">
    <w:name w:val="toc 9"/>
    <w:basedOn w:val="Normal"/>
    <w:next w:val="Normal"/>
    <w:autoRedefine/>
    <w:uiPriority w:val="39"/>
    <w:unhideWhenUsed/>
    <w:rsid w:val="00A27F6D"/>
    <w:pPr>
      <w:spacing w:before="0" w:after="0" w:line="240" w:lineRule="auto"/>
      <w:ind w:left="1920"/>
      <w:jc w:val="left"/>
    </w:pPr>
    <w:rPr>
      <w:rFonts w:ascii="Cambria" w:eastAsia="MS Mincho" w:hAnsi="Cambria"/>
      <w:sz w:val="24"/>
      <w:szCs w:val="24"/>
    </w:rPr>
  </w:style>
  <w:style w:type="character" w:styleId="PageNumber">
    <w:name w:val="page number"/>
    <w:uiPriority w:val="99"/>
    <w:semiHidden/>
    <w:unhideWhenUsed/>
    <w:rsid w:val="00A27F6D"/>
  </w:style>
  <w:style w:type="paragraph" w:styleId="FootnoteText">
    <w:name w:val="footnote text"/>
    <w:basedOn w:val="Normal"/>
    <w:link w:val="FootnoteTextChar"/>
    <w:uiPriority w:val="99"/>
    <w:semiHidden/>
    <w:unhideWhenUsed/>
    <w:rsid w:val="00FA048B"/>
  </w:style>
  <w:style w:type="character" w:customStyle="1" w:styleId="FootnoteTextChar">
    <w:name w:val="Footnote Text Char"/>
    <w:link w:val="FootnoteText"/>
    <w:uiPriority w:val="99"/>
    <w:semiHidden/>
    <w:rsid w:val="00FA048B"/>
    <w:rPr>
      <w:rFonts w:ascii="Arial" w:hAnsi="Arial"/>
      <w:lang w:val="en-US" w:eastAsia="en-US"/>
    </w:rPr>
  </w:style>
  <w:style w:type="character" w:styleId="FootnoteReference">
    <w:name w:val="footnote reference"/>
    <w:uiPriority w:val="99"/>
    <w:semiHidden/>
    <w:unhideWhenUsed/>
    <w:rsid w:val="00FA048B"/>
    <w:rPr>
      <w:vertAlign w:val="superscript"/>
    </w:rPr>
  </w:style>
  <w:style w:type="paragraph" w:styleId="ListParagraph">
    <w:name w:val="List Paragraph"/>
    <w:basedOn w:val="Normal"/>
    <w:uiPriority w:val="1"/>
    <w:qFormat/>
    <w:rsid w:val="00974D05"/>
    <w:pPr>
      <w:ind w:left="720"/>
      <w:contextualSpacing/>
    </w:pPr>
  </w:style>
  <w:style w:type="paragraph" w:styleId="BodyText">
    <w:name w:val="Body Text"/>
    <w:basedOn w:val="Normal"/>
    <w:link w:val="BodyTextChar"/>
    <w:uiPriority w:val="1"/>
    <w:qFormat/>
    <w:rsid w:val="00FF2F15"/>
    <w:pPr>
      <w:widowControl w:val="0"/>
      <w:autoSpaceDE w:val="0"/>
      <w:autoSpaceDN w:val="0"/>
      <w:spacing w:before="0" w:after="0" w:line="240" w:lineRule="auto"/>
    </w:pPr>
    <w:rPr>
      <w:rFonts w:eastAsia="Times New Roman"/>
      <w:szCs w:val="28"/>
    </w:rPr>
  </w:style>
  <w:style w:type="character" w:customStyle="1" w:styleId="BodyTextChar">
    <w:name w:val="Body Text Char"/>
    <w:basedOn w:val="DefaultParagraphFont"/>
    <w:link w:val="BodyText"/>
    <w:uiPriority w:val="1"/>
    <w:rsid w:val="00FF2F15"/>
    <w:rPr>
      <w:rFonts w:ascii="Arial" w:eastAsia="Times New Roman" w:hAnsi="Arial"/>
      <w:szCs w:val="28"/>
      <w:lang w:val="en-US" w:eastAsia="en-US"/>
    </w:rPr>
  </w:style>
  <w:style w:type="character" w:customStyle="1" w:styleId="Heading4Char">
    <w:name w:val="Heading 4 Char"/>
    <w:basedOn w:val="DefaultParagraphFont"/>
    <w:link w:val="Heading4"/>
    <w:uiPriority w:val="9"/>
    <w:semiHidden/>
    <w:rsid w:val="00145215"/>
    <w:rPr>
      <w:rFonts w:asciiTheme="majorHAnsi" w:eastAsiaTheme="majorEastAsia" w:hAnsiTheme="majorHAnsi" w:cstheme="majorBidi"/>
      <w:i/>
      <w:iCs/>
      <w:color w:val="2E74B5" w:themeColor="accent1" w:themeShade="BF"/>
      <w:lang w:val="en-US" w:eastAsia="en-US"/>
    </w:rPr>
  </w:style>
  <w:style w:type="character" w:customStyle="1" w:styleId="Heading5Char">
    <w:name w:val="Heading 5 Char"/>
    <w:basedOn w:val="DefaultParagraphFont"/>
    <w:link w:val="Heading5"/>
    <w:uiPriority w:val="9"/>
    <w:semiHidden/>
    <w:rsid w:val="00145215"/>
    <w:rPr>
      <w:rFonts w:asciiTheme="majorHAnsi" w:eastAsiaTheme="majorEastAsia" w:hAnsiTheme="majorHAnsi" w:cstheme="majorBidi"/>
      <w:color w:val="2E74B5" w:themeColor="accent1" w:themeShade="BF"/>
      <w:lang w:val="en-US" w:eastAsia="en-US"/>
    </w:rPr>
  </w:style>
  <w:style w:type="paragraph" w:styleId="BalloonText">
    <w:name w:val="Balloon Text"/>
    <w:basedOn w:val="Normal"/>
    <w:link w:val="BalloonTextChar"/>
    <w:uiPriority w:val="99"/>
    <w:semiHidden/>
    <w:unhideWhenUsed/>
    <w:rsid w:val="0015514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142"/>
    <w:rPr>
      <w:rFonts w:ascii="Segoe UI" w:hAnsi="Segoe UI" w:cs="Segoe UI"/>
      <w:sz w:val="18"/>
      <w:szCs w:val="18"/>
      <w:lang w:val="en-US" w:eastAsia="en-US"/>
    </w:rPr>
  </w:style>
  <w:style w:type="paragraph" w:styleId="Bibliography">
    <w:name w:val="Bibliography"/>
    <w:basedOn w:val="Normal"/>
    <w:next w:val="Normal"/>
    <w:uiPriority w:val="37"/>
    <w:semiHidden/>
    <w:unhideWhenUsed/>
    <w:rsid w:val="00155142"/>
  </w:style>
  <w:style w:type="paragraph" w:styleId="BlockText">
    <w:name w:val="Block Text"/>
    <w:basedOn w:val="Normal"/>
    <w:uiPriority w:val="99"/>
    <w:semiHidden/>
    <w:unhideWhenUsed/>
    <w:rsid w:val="00155142"/>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uiPriority w:val="99"/>
    <w:semiHidden/>
    <w:unhideWhenUsed/>
    <w:rsid w:val="00155142"/>
    <w:pPr>
      <w:spacing w:line="480" w:lineRule="auto"/>
    </w:pPr>
  </w:style>
  <w:style w:type="character" w:customStyle="1" w:styleId="BodyText2Char">
    <w:name w:val="Body Text 2 Char"/>
    <w:basedOn w:val="DefaultParagraphFont"/>
    <w:link w:val="BodyText2"/>
    <w:uiPriority w:val="99"/>
    <w:semiHidden/>
    <w:rsid w:val="00155142"/>
    <w:rPr>
      <w:rFonts w:ascii="Arial" w:hAnsi="Arial"/>
      <w:lang w:val="en-US" w:eastAsia="en-US"/>
    </w:rPr>
  </w:style>
  <w:style w:type="paragraph" w:styleId="BodyText3">
    <w:name w:val="Body Text 3"/>
    <w:basedOn w:val="Normal"/>
    <w:link w:val="BodyText3Char"/>
    <w:uiPriority w:val="99"/>
    <w:semiHidden/>
    <w:unhideWhenUsed/>
    <w:rsid w:val="00155142"/>
    <w:rPr>
      <w:sz w:val="16"/>
      <w:szCs w:val="16"/>
    </w:rPr>
  </w:style>
  <w:style w:type="character" w:customStyle="1" w:styleId="BodyText3Char">
    <w:name w:val="Body Text 3 Char"/>
    <w:basedOn w:val="DefaultParagraphFont"/>
    <w:link w:val="BodyText3"/>
    <w:uiPriority w:val="99"/>
    <w:semiHidden/>
    <w:rsid w:val="00155142"/>
    <w:rPr>
      <w:rFonts w:ascii="Arial" w:hAnsi="Arial"/>
      <w:sz w:val="16"/>
      <w:szCs w:val="16"/>
      <w:lang w:val="en-US" w:eastAsia="en-US"/>
    </w:rPr>
  </w:style>
  <w:style w:type="paragraph" w:styleId="BodyTextFirstIndent">
    <w:name w:val="Body Text First Indent"/>
    <w:basedOn w:val="BodyText"/>
    <w:link w:val="BodyTextFirstIndentChar"/>
    <w:uiPriority w:val="99"/>
    <w:semiHidden/>
    <w:unhideWhenUsed/>
    <w:rsid w:val="00155142"/>
    <w:pPr>
      <w:widowControl/>
      <w:autoSpaceDE/>
      <w:autoSpaceDN/>
      <w:spacing w:before="240" w:after="120" w:line="276" w:lineRule="auto"/>
      <w:ind w:firstLine="360"/>
    </w:pPr>
    <w:rPr>
      <w:rFonts w:eastAsia="Calibri"/>
      <w:szCs w:val="20"/>
    </w:rPr>
  </w:style>
  <w:style w:type="character" w:customStyle="1" w:styleId="BodyTextFirstIndentChar">
    <w:name w:val="Body Text First Indent Char"/>
    <w:basedOn w:val="BodyTextChar"/>
    <w:link w:val="BodyTextFirstIndent"/>
    <w:uiPriority w:val="99"/>
    <w:semiHidden/>
    <w:rsid w:val="00155142"/>
    <w:rPr>
      <w:rFonts w:ascii="Arial" w:eastAsia="Times New Roman" w:hAnsi="Arial"/>
      <w:sz w:val="28"/>
      <w:szCs w:val="28"/>
      <w:lang w:val="en-US" w:eastAsia="en-US"/>
    </w:rPr>
  </w:style>
  <w:style w:type="paragraph" w:styleId="BodyTextIndent">
    <w:name w:val="Body Text Indent"/>
    <w:basedOn w:val="Normal"/>
    <w:link w:val="BodyTextIndentChar"/>
    <w:uiPriority w:val="99"/>
    <w:semiHidden/>
    <w:unhideWhenUsed/>
    <w:rsid w:val="00155142"/>
    <w:pPr>
      <w:ind w:left="360"/>
    </w:pPr>
  </w:style>
  <w:style w:type="character" w:customStyle="1" w:styleId="BodyTextIndentChar">
    <w:name w:val="Body Text Indent Char"/>
    <w:basedOn w:val="DefaultParagraphFont"/>
    <w:link w:val="BodyTextIndent"/>
    <w:uiPriority w:val="99"/>
    <w:semiHidden/>
    <w:rsid w:val="00155142"/>
    <w:rPr>
      <w:rFonts w:ascii="Arial" w:hAnsi="Arial"/>
      <w:lang w:val="en-US" w:eastAsia="en-US"/>
    </w:rPr>
  </w:style>
  <w:style w:type="paragraph" w:styleId="BodyTextFirstIndent2">
    <w:name w:val="Body Text First Indent 2"/>
    <w:basedOn w:val="BodyTextIndent"/>
    <w:link w:val="BodyTextFirstIndent2Char"/>
    <w:uiPriority w:val="99"/>
    <w:semiHidden/>
    <w:unhideWhenUsed/>
    <w:rsid w:val="00155142"/>
    <w:pPr>
      <w:ind w:firstLine="360"/>
    </w:pPr>
  </w:style>
  <w:style w:type="character" w:customStyle="1" w:styleId="BodyTextFirstIndent2Char">
    <w:name w:val="Body Text First Indent 2 Char"/>
    <w:basedOn w:val="BodyTextIndentChar"/>
    <w:link w:val="BodyTextFirstIndent2"/>
    <w:uiPriority w:val="99"/>
    <w:semiHidden/>
    <w:rsid w:val="00155142"/>
    <w:rPr>
      <w:rFonts w:ascii="Arial" w:hAnsi="Arial"/>
      <w:lang w:val="en-US" w:eastAsia="en-US"/>
    </w:rPr>
  </w:style>
  <w:style w:type="paragraph" w:styleId="BodyTextIndent2">
    <w:name w:val="Body Text Indent 2"/>
    <w:basedOn w:val="Normal"/>
    <w:link w:val="BodyTextIndent2Char"/>
    <w:uiPriority w:val="99"/>
    <w:semiHidden/>
    <w:unhideWhenUsed/>
    <w:rsid w:val="00155142"/>
    <w:pPr>
      <w:spacing w:line="480" w:lineRule="auto"/>
      <w:ind w:left="360"/>
    </w:pPr>
  </w:style>
  <w:style w:type="character" w:customStyle="1" w:styleId="BodyTextIndent2Char">
    <w:name w:val="Body Text Indent 2 Char"/>
    <w:basedOn w:val="DefaultParagraphFont"/>
    <w:link w:val="BodyTextIndent2"/>
    <w:uiPriority w:val="99"/>
    <w:semiHidden/>
    <w:rsid w:val="00155142"/>
    <w:rPr>
      <w:rFonts w:ascii="Arial" w:hAnsi="Arial"/>
      <w:lang w:val="en-US" w:eastAsia="en-US"/>
    </w:rPr>
  </w:style>
  <w:style w:type="paragraph" w:styleId="BodyTextIndent3">
    <w:name w:val="Body Text Indent 3"/>
    <w:basedOn w:val="Normal"/>
    <w:link w:val="BodyTextIndent3Char"/>
    <w:uiPriority w:val="99"/>
    <w:semiHidden/>
    <w:unhideWhenUsed/>
    <w:rsid w:val="00155142"/>
    <w:pPr>
      <w:ind w:left="360"/>
    </w:pPr>
    <w:rPr>
      <w:sz w:val="16"/>
      <w:szCs w:val="16"/>
    </w:rPr>
  </w:style>
  <w:style w:type="character" w:customStyle="1" w:styleId="BodyTextIndent3Char">
    <w:name w:val="Body Text Indent 3 Char"/>
    <w:basedOn w:val="DefaultParagraphFont"/>
    <w:link w:val="BodyTextIndent3"/>
    <w:uiPriority w:val="99"/>
    <w:semiHidden/>
    <w:rsid w:val="00155142"/>
    <w:rPr>
      <w:rFonts w:ascii="Arial" w:hAnsi="Arial"/>
      <w:sz w:val="16"/>
      <w:szCs w:val="16"/>
      <w:lang w:val="en-US" w:eastAsia="en-US"/>
    </w:rPr>
  </w:style>
  <w:style w:type="paragraph" w:styleId="Caption">
    <w:name w:val="caption"/>
    <w:basedOn w:val="Normal"/>
    <w:next w:val="Normal"/>
    <w:uiPriority w:val="35"/>
    <w:semiHidden/>
    <w:unhideWhenUsed/>
    <w:qFormat/>
    <w:rsid w:val="00155142"/>
    <w:pPr>
      <w:spacing w:before="0"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155142"/>
    <w:pPr>
      <w:spacing w:before="0" w:after="0" w:line="240" w:lineRule="auto"/>
      <w:ind w:left="4320"/>
    </w:pPr>
  </w:style>
  <w:style w:type="character" w:customStyle="1" w:styleId="ClosingChar">
    <w:name w:val="Closing Char"/>
    <w:basedOn w:val="DefaultParagraphFont"/>
    <w:link w:val="Closing"/>
    <w:uiPriority w:val="99"/>
    <w:semiHidden/>
    <w:rsid w:val="00155142"/>
    <w:rPr>
      <w:rFonts w:ascii="Arial" w:hAnsi="Arial"/>
      <w:lang w:val="en-US" w:eastAsia="en-US"/>
    </w:rPr>
  </w:style>
  <w:style w:type="paragraph" w:styleId="CommentText">
    <w:name w:val="annotation text"/>
    <w:basedOn w:val="Normal"/>
    <w:link w:val="CommentTextChar"/>
    <w:uiPriority w:val="99"/>
    <w:semiHidden/>
    <w:unhideWhenUsed/>
    <w:rsid w:val="00155142"/>
    <w:pPr>
      <w:spacing w:line="240" w:lineRule="auto"/>
    </w:pPr>
  </w:style>
  <w:style w:type="character" w:customStyle="1" w:styleId="CommentTextChar">
    <w:name w:val="Comment Text Char"/>
    <w:basedOn w:val="DefaultParagraphFont"/>
    <w:link w:val="CommentText"/>
    <w:uiPriority w:val="99"/>
    <w:semiHidden/>
    <w:rsid w:val="00155142"/>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155142"/>
    <w:rPr>
      <w:b/>
      <w:bCs/>
    </w:rPr>
  </w:style>
  <w:style w:type="character" w:customStyle="1" w:styleId="CommentSubjectChar">
    <w:name w:val="Comment Subject Char"/>
    <w:basedOn w:val="CommentTextChar"/>
    <w:link w:val="CommentSubject"/>
    <w:uiPriority w:val="99"/>
    <w:semiHidden/>
    <w:rsid w:val="00155142"/>
    <w:rPr>
      <w:rFonts w:ascii="Arial" w:hAnsi="Arial"/>
      <w:b/>
      <w:bCs/>
      <w:lang w:val="en-US" w:eastAsia="en-US"/>
    </w:rPr>
  </w:style>
  <w:style w:type="paragraph" w:styleId="Date">
    <w:name w:val="Date"/>
    <w:basedOn w:val="Normal"/>
    <w:next w:val="Normal"/>
    <w:link w:val="DateChar"/>
    <w:uiPriority w:val="99"/>
    <w:semiHidden/>
    <w:unhideWhenUsed/>
    <w:rsid w:val="00155142"/>
  </w:style>
  <w:style w:type="character" w:customStyle="1" w:styleId="DateChar">
    <w:name w:val="Date Char"/>
    <w:basedOn w:val="DefaultParagraphFont"/>
    <w:link w:val="Date"/>
    <w:uiPriority w:val="99"/>
    <w:semiHidden/>
    <w:rsid w:val="00155142"/>
    <w:rPr>
      <w:rFonts w:ascii="Arial" w:hAnsi="Arial"/>
      <w:lang w:val="en-US" w:eastAsia="en-US"/>
    </w:rPr>
  </w:style>
  <w:style w:type="paragraph" w:styleId="DocumentMap">
    <w:name w:val="Document Map"/>
    <w:basedOn w:val="Normal"/>
    <w:link w:val="DocumentMapChar"/>
    <w:uiPriority w:val="99"/>
    <w:semiHidden/>
    <w:unhideWhenUsed/>
    <w:rsid w:val="00155142"/>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55142"/>
    <w:rPr>
      <w:rFonts w:ascii="Segoe UI" w:hAnsi="Segoe UI" w:cs="Segoe UI"/>
      <w:sz w:val="16"/>
      <w:szCs w:val="16"/>
      <w:lang w:val="en-US" w:eastAsia="en-US"/>
    </w:rPr>
  </w:style>
  <w:style w:type="paragraph" w:styleId="E-mailSignature">
    <w:name w:val="E-mail Signature"/>
    <w:basedOn w:val="Normal"/>
    <w:link w:val="E-mailSignatureChar"/>
    <w:uiPriority w:val="99"/>
    <w:semiHidden/>
    <w:unhideWhenUsed/>
    <w:rsid w:val="00155142"/>
    <w:pPr>
      <w:spacing w:before="0" w:after="0" w:line="240" w:lineRule="auto"/>
    </w:pPr>
  </w:style>
  <w:style w:type="character" w:customStyle="1" w:styleId="E-mailSignatureChar">
    <w:name w:val="E-mail Signature Char"/>
    <w:basedOn w:val="DefaultParagraphFont"/>
    <w:link w:val="E-mailSignature"/>
    <w:uiPriority w:val="99"/>
    <w:semiHidden/>
    <w:rsid w:val="00155142"/>
    <w:rPr>
      <w:rFonts w:ascii="Arial" w:hAnsi="Arial"/>
      <w:lang w:val="en-US" w:eastAsia="en-US"/>
    </w:rPr>
  </w:style>
  <w:style w:type="paragraph" w:styleId="EndnoteText">
    <w:name w:val="endnote text"/>
    <w:basedOn w:val="Normal"/>
    <w:link w:val="EndnoteTextChar"/>
    <w:uiPriority w:val="99"/>
    <w:semiHidden/>
    <w:unhideWhenUsed/>
    <w:rsid w:val="00155142"/>
    <w:pPr>
      <w:spacing w:before="0" w:after="0" w:line="240" w:lineRule="auto"/>
    </w:pPr>
  </w:style>
  <w:style w:type="character" w:customStyle="1" w:styleId="EndnoteTextChar">
    <w:name w:val="Endnote Text Char"/>
    <w:basedOn w:val="DefaultParagraphFont"/>
    <w:link w:val="EndnoteText"/>
    <w:uiPriority w:val="99"/>
    <w:semiHidden/>
    <w:rsid w:val="00155142"/>
    <w:rPr>
      <w:rFonts w:ascii="Arial" w:hAnsi="Arial"/>
      <w:lang w:val="en-US" w:eastAsia="en-US"/>
    </w:rPr>
  </w:style>
  <w:style w:type="paragraph" w:styleId="EnvelopeAddress">
    <w:name w:val="envelope address"/>
    <w:basedOn w:val="Normal"/>
    <w:uiPriority w:val="99"/>
    <w:semiHidden/>
    <w:unhideWhenUsed/>
    <w:rsid w:val="00155142"/>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55142"/>
    <w:pPr>
      <w:spacing w:before="0" w:after="0" w:line="240" w:lineRule="auto"/>
    </w:pPr>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sid w:val="00155142"/>
    <w:rPr>
      <w:rFonts w:asciiTheme="majorHAnsi" w:eastAsiaTheme="majorEastAsia" w:hAnsiTheme="majorHAnsi" w:cstheme="majorBidi"/>
      <w:color w:val="1F4D78" w:themeColor="accent1" w:themeShade="7F"/>
      <w:lang w:val="en-US" w:eastAsia="en-US"/>
    </w:rPr>
  </w:style>
  <w:style w:type="character" w:customStyle="1" w:styleId="Heading7Char">
    <w:name w:val="Heading 7 Char"/>
    <w:basedOn w:val="DefaultParagraphFont"/>
    <w:link w:val="Heading7"/>
    <w:uiPriority w:val="9"/>
    <w:semiHidden/>
    <w:rsid w:val="00155142"/>
    <w:rPr>
      <w:rFonts w:asciiTheme="majorHAnsi" w:eastAsiaTheme="majorEastAsia" w:hAnsiTheme="majorHAnsi" w:cstheme="majorBidi"/>
      <w:i/>
      <w:iCs/>
      <w:color w:val="1F4D78" w:themeColor="accent1" w:themeShade="7F"/>
      <w:lang w:val="en-US" w:eastAsia="en-US"/>
    </w:rPr>
  </w:style>
  <w:style w:type="character" w:customStyle="1" w:styleId="Heading8Char">
    <w:name w:val="Heading 8 Char"/>
    <w:basedOn w:val="DefaultParagraphFont"/>
    <w:link w:val="Heading8"/>
    <w:uiPriority w:val="9"/>
    <w:semiHidden/>
    <w:rsid w:val="00155142"/>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155142"/>
    <w:rPr>
      <w:rFonts w:asciiTheme="majorHAnsi" w:eastAsiaTheme="majorEastAsia" w:hAnsiTheme="majorHAnsi" w:cstheme="majorBidi"/>
      <w:i/>
      <w:iCs/>
      <w:color w:val="272727" w:themeColor="text1" w:themeTint="D8"/>
      <w:sz w:val="21"/>
      <w:szCs w:val="21"/>
      <w:lang w:val="en-US" w:eastAsia="en-US"/>
    </w:rPr>
  </w:style>
  <w:style w:type="paragraph" w:styleId="HTMLAddress">
    <w:name w:val="HTML Address"/>
    <w:basedOn w:val="Normal"/>
    <w:link w:val="HTMLAddressChar"/>
    <w:uiPriority w:val="99"/>
    <w:semiHidden/>
    <w:unhideWhenUsed/>
    <w:rsid w:val="00155142"/>
    <w:pPr>
      <w:spacing w:before="0" w:after="0" w:line="240" w:lineRule="auto"/>
    </w:pPr>
    <w:rPr>
      <w:i/>
      <w:iCs/>
    </w:rPr>
  </w:style>
  <w:style w:type="character" w:customStyle="1" w:styleId="HTMLAddressChar">
    <w:name w:val="HTML Address Char"/>
    <w:basedOn w:val="DefaultParagraphFont"/>
    <w:link w:val="HTMLAddress"/>
    <w:uiPriority w:val="99"/>
    <w:semiHidden/>
    <w:rsid w:val="00155142"/>
    <w:rPr>
      <w:rFonts w:ascii="Arial" w:hAnsi="Arial"/>
      <w:i/>
      <w:iCs/>
      <w:lang w:val="en-US" w:eastAsia="en-US"/>
    </w:rPr>
  </w:style>
  <w:style w:type="paragraph" w:styleId="HTMLPreformatted">
    <w:name w:val="HTML Preformatted"/>
    <w:basedOn w:val="Normal"/>
    <w:link w:val="HTMLPreformattedChar"/>
    <w:uiPriority w:val="99"/>
    <w:semiHidden/>
    <w:unhideWhenUsed/>
    <w:rsid w:val="00155142"/>
    <w:pPr>
      <w:spacing w:before="0"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155142"/>
    <w:rPr>
      <w:rFonts w:ascii="Consolas" w:hAnsi="Consolas"/>
      <w:lang w:val="en-US" w:eastAsia="en-US"/>
    </w:rPr>
  </w:style>
  <w:style w:type="paragraph" w:styleId="Index1">
    <w:name w:val="index 1"/>
    <w:basedOn w:val="Normal"/>
    <w:next w:val="Normal"/>
    <w:autoRedefine/>
    <w:uiPriority w:val="99"/>
    <w:semiHidden/>
    <w:unhideWhenUsed/>
    <w:rsid w:val="00155142"/>
    <w:pPr>
      <w:spacing w:before="0" w:after="0" w:line="240" w:lineRule="auto"/>
      <w:ind w:left="200" w:hanging="200"/>
    </w:pPr>
  </w:style>
  <w:style w:type="paragraph" w:styleId="Index2">
    <w:name w:val="index 2"/>
    <w:basedOn w:val="Normal"/>
    <w:next w:val="Normal"/>
    <w:autoRedefine/>
    <w:uiPriority w:val="99"/>
    <w:semiHidden/>
    <w:unhideWhenUsed/>
    <w:rsid w:val="00155142"/>
    <w:pPr>
      <w:spacing w:before="0" w:after="0" w:line="240" w:lineRule="auto"/>
      <w:ind w:left="400" w:hanging="200"/>
    </w:pPr>
  </w:style>
  <w:style w:type="paragraph" w:styleId="Index3">
    <w:name w:val="index 3"/>
    <w:basedOn w:val="Normal"/>
    <w:next w:val="Normal"/>
    <w:autoRedefine/>
    <w:uiPriority w:val="99"/>
    <w:semiHidden/>
    <w:unhideWhenUsed/>
    <w:rsid w:val="00155142"/>
    <w:pPr>
      <w:spacing w:before="0" w:after="0" w:line="240" w:lineRule="auto"/>
      <w:ind w:left="600" w:hanging="200"/>
    </w:pPr>
  </w:style>
  <w:style w:type="paragraph" w:styleId="Index4">
    <w:name w:val="index 4"/>
    <w:basedOn w:val="Normal"/>
    <w:next w:val="Normal"/>
    <w:autoRedefine/>
    <w:uiPriority w:val="99"/>
    <w:semiHidden/>
    <w:unhideWhenUsed/>
    <w:rsid w:val="00155142"/>
    <w:pPr>
      <w:spacing w:before="0" w:after="0" w:line="240" w:lineRule="auto"/>
      <w:ind w:left="800" w:hanging="200"/>
    </w:pPr>
  </w:style>
  <w:style w:type="paragraph" w:styleId="Index5">
    <w:name w:val="index 5"/>
    <w:basedOn w:val="Normal"/>
    <w:next w:val="Normal"/>
    <w:autoRedefine/>
    <w:uiPriority w:val="99"/>
    <w:semiHidden/>
    <w:unhideWhenUsed/>
    <w:rsid w:val="00155142"/>
    <w:pPr>
      <w:spacing w:before="0" w:after="0" w:line="240" w:lineRule="auto"/>
      <w:ind w:left="1000" w:hanging="200"/>
    </w:pPr>
  </w:style>
  <w:style w:type="paragraph" w:styleId="Index6">
    <w:name w:val="index 6"/>
    <w:basedOn w:val="Normal"/>
    <w:next w:val="Normal"/>
    <w:autoRedefine/>
    <w:uiPriority w:val="99"/>
    <w:semiHidden/>
    <w:unhideWhenUsed/>
    <w:rsid w:val="00155142"/>
    <w:pPr>
      <w:spacing w:before="0" w:after="0" w:line="240" w:lineRule="auto"/>
      <w:ind w:left="1200" w:hanging="200"/>
    </w:pPr>
  </w:style>
  <w:style w:type="paragraph" w:styleId="Index7">
    <w:name w:val="index 7"/>
    <w:basedOn w:val="Normal"/>
    <w:next w:val="Normal"/>
    <w:autoRedefine/>
    <w:uiPriority w:val="99"/>
    <w:semiHidden/>
    <w:unhideWhenUsed/>
    <w:rsid w:val="00155142"/>
    <w:pPr>
      <w:spacing w:before="0" w:after="0" w:line="240" w:lineRule="auto"/>
      <w:ind w:left="1400" w:hanging="200"/>
    </w:pPr>
  </w:style>
  <w:style w:type="paragraph" w:styleId="Index8">
    <w:name w:val="index 8"/>
    <w:basedOn w:val="Normal"/>
    <w:next w:val="Normal"/>
    <w:autoRedefine/>
    <w:uiPriority w:val="99"/>
    <w:semiHidden/>
    <w:unhideWhenUsed/>
    <w:rsid w:val="00155142"/>
    <w:pPr>
      <w:spacing w:before="0" w:after="0" w:line="240" w:lineRule="auto"/>
      <w:ind w:left="1600" w:hanging="200"/>
    </w:pPr>
  </w:style>
  <w:style w:type="paragraph" w:styleId="Index9">
    <w:name w:val="index 9"/>
    <w:basedOn w:val="Normal"/>
    <w:next w:val="Normal"/>
    <w:autoRedefine/>
    <w:uiPriority w:val="99"/>
    <w:semiHidden/>
    <w:unhideWhenUsed/>
    <w:rsid w:val="00155142"/>
    <w:pPr>
      <w:spacing w:before="0" w:after="0" w:line="240" w:lineRule="auto"/>
      <w:ind w:left="1800" w:hanging="200"/>
    </w:pPr>
  </w:style>
  <w:style w:type="paragraph" w:styleId="IndexHeading">
    <w:name w:val="index heading"/>
    <w:basedOn w:val="Normal"/>
    <w:next w:val="Index1"/>
    <w:uiPriority w:val="99"/>
    <w:semiHidden/>
    <w:unhideWhenUsed/>
    <w:rsid w:val="0015514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5514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55142"/>
    <w:rPr>
      <w:rFonts w:ascii="Arial" w:hAnsi="Arial"/>
      <w:i/>
      <w:iCs/>
      <w:color w:val="5B9BD5" w:themeColor="accent1"/>
      <w:lang w:val="en-US" w:eastAsia="en-US"/>
    </w:rPr>
  </w:style>
  <w:style w:type="paragraph" w:styleId="List">
    <w:name w:val="List"/>
    <w:basedOn w:val="Normal"/>
    <w:uiPriority w:val="99"/>
    <w:semiHidden/>
    <w:unhideWhenUsed/>
    <w:rsid w:val="00155142"/>
    <w:pPr>
      <w:ind w:left="360" w:hanging="360"/>
      <w:contextualSpacing/>
    </w:pPr>
  </w:style>
  <w:style w:type="paragraph" w:styleId="List2">
    <w:name w:val="List 2"/>
    <w:basedOn w:val="Normal"/>
    <w:uiPriority w:val="99"/>
    <w:semiHidden/>
    <w:unhideWhenUsed/>
    <w:rsid w:val="00155142"/>
    <w:pPr>
      <w:ind w:left="720" w:hanging="360"/>
      <w:contextualSpacing/>
    </w:pPr>
  </w:style>
  <w:style w:type="paragraph" w:styleId="List3">
    <w:name w:val="List 3"/>
    <w:basedOn w:val="Normal"/>
    <w:uiPriority w:val="99"/>
    <w:semiHidden/>
    <w:unhideWhenUsed/>
    <w:rsid w:val="00155142"/>
    <w:pPr>
      <w:ind w:left="1080" w:hanging="360"/>
      <w:contextualSpacing/>
    </w:pPr>
  </w:style>
  <w:style w:type="paragraph" w:styleId="List4">
    <w:name w:val="List 4"/>
    <w:basedOn w:val="Normal"/>
    <w:uiPriority w:val="99"/>
    <w:semiHidden/>
    <w:unhideWhenUsed/>
    <w:rsid w:val="00155142"/>
    <w:pPr>
      <w:ind w:left="1440" w:hanging="360"/>
      <w:contextualSpacing/>
    </w:pPr>
  </w:style>
  <w:style w:type="paragraph" w:styleId="List5">
    <w:name w:val="List 5"/>
    <w:basedOn w:val="Normal"/>
    <w:uiPriority w:val="99"/>
    <w:semiHidden/>
    <w:unhideWhenUsed/>
    <w:rsid w:val="00155142"/>
    <w:pPr>
      <w:ind w:left="1800" w:hanging="360"/>
      <w:contextualSpacing/>
    </w:pPr>
  </w:style>
  <w:style w:type="paragraph" w:styleId="ListBullet">
    <w:name w:val="List Bullet"/>
    <w:basedOn w:val="Normal"/>
    <w:uiPriority w:val="99"/>
    <w:semiHidden/>
    <w:unhideWhenUsed/>
    <w:rsid w:val="00155142"/>
    <w:pPr>
      <w:numPr>
        <w:numId w:val="2"/>
      </w:numPr>
      <w:contextualSpacing/>
    </w:pPr>
  </w:style>
  <w:style w:type="paragraph" w:styleId="ListBullet2">
    <w:name w:val="List Bullet 2"/>
    <w:basedOn w:val="Normal"/>
    <w:uiPriority w:val="99"/>
    <w:semiHidden/>
    <w:unhideWhenUsed/>
    <w:rsid w:val="00155142"/>
    <w:pPr>
      <w:tabs>
        <w:tab w:val="num" w:pos="720"/>
      </w:tabs>
      <w:ind w:left="720" w:hanging="720"/>
      <w:contextualSpacing/>
    </w:pPr>
  </w:style>
  <w:style w:type="paragraph" w:styleId="ListBullet3">
    <w:name w:val="List Bullet 3"/>
    <w:basedOn w:val="Normal"/>
    <w:uiPriority w:val="99"/>
    <w:semiHidden/>
    <w:unhideWhenUsed/>
    <w:rsid w:val="00155142"/>
    <w:pPr>
      <w:tabs>
        <w:tab w:val="num" w:pos="720"/>
      </w:tabs>
      <w:ind w:left="720" w:hanging="720"/>
      <w:contextualSpacing/>
    </w:pPr>
  </w:style>
  <w:style w:type="paragraph" w:styleId="ListBullet4">
    <w:name w:val="List Bullet 4"/>
    <w:basedOn w:val="Normal"/>
    <w:uiPriority w:val="99"/>
    <w:semiHidden/>
    <w:unhideWhenUsed/>
    <w:rsid w:val="00155142"/>
    <w:pPr>
      <w:tabs>
        <w:tab w:val="num" w:pos="720"/>
      </w:tabs>
      <w:ind w:left="720" w:hanging="720"/>
      <w:contextualSpacing/>
    </w:pPr>
  </w:style>
  <w:style w:type="paragraph" w:styleId="ListBullet5">
    <w:name w:val="List Bullet 5"/>
    <w:basedOn w:val="Normal"/>
    <w:uiPriority w:val="99"/>
    <w:semiHidden/>
    <w:unhideWhenUsed/>
    <w:rsid w:val="00155142"/>
    <w:pPr>
      <w:tabs>
        <w:tab w:val="num" w:pos="720"/>
      </w:tabs>
      <w:ind w:left="720" w:hanging="720"/>
      <w:contextualSpacing/>
    </w:pPr>
  </w:style>
  <w:style w:type="paragraph" w:styleId="ListContinue">
    <w:name w:val="List Continue"/>
    <w:basedOn w:val="Normal"/>
    <w:uiPriority w:val="99"/>
    <w:semiHidden/>
    <w:unhideWhenUsed/>
    <w:rsid w:val="00155142"/>
    <w:pPr>
      <w:ind w:left="360"/>
      <w:contextualSpacing/>
    </w:pPr>
  </w:style>
  <w:style w:type="paragraph" w:styleId="ListContinue2">
    <w:name w:val="List Continue 2"/>
    <w:basedOn w:val="Normal"/>
    <w:uiPriority w:val="99"/>
    <w:semiHidden/>
    <w:unhideWhenUsed/>
    <w:rsid w:val="00155142"/>
    <w:pPr>
      <w:ind w:left="720"/>
      <w:contextualSpacing/>
    </w:pPr>
  </w:style>
  <w:style w:type="paragraph" w:styleId="ListContinue3">
    <w:name w:val="List Continue 3"/>
    <w:basedOn w:val="Normal"/>
    <w:uiPriority w:val="99"/>
    <w:semiHidden/>
    <w:unhideWhenUsed/>
    <w:rsid w:val="00155142"/>
    <w:pPr>
      <w:ind w:left="1080"/>
      <w:contextualSpacing/>
    </w:pPr>
  </w:style>
  <w:style w:type="paragraph" w:styleId="ListContinue4">
    <w:name w:val="List Continue 4"/>
    <w:basedOn w:val="Normal"/>
    <w:uiPriority w:val="99"/>
    <w:semiHidden/>
    <w:unhideWhenUsed/>
    <w:rsid w:val="00155142"/>
    <w:pPr>
      <w:ind w:left="1440"/>
      <w:contextualSpacing/>
    </w:pPr>
  </w:style>
  <w:style w:type="paragraph" w:styleId="ListContinue5">
    <w:name w:val="List Continue 5"/>
    <w:basedOn w:val="Normal"/>
    <w:uiPriority w:val="99"/>
    <w:semiHidden/>
    <w:unhideWhenUsed/>
    <w:rsid w:val="00155142"/>
    <w:pPr>
      <w:ind w:left="1800"/>
      <w:contextualSpacing/>
    </w:pPr>
  </w:style>
  <w:style w:type="paragraph" w:styleId="ListNumber">
    <w:name w:val="List Number"/>
    <w:basedOn w:val="Normal"/>
    <w:uiPriority w:val="99"/>
    <w:semiHidden/>
    <w:unhideWhenUsed/>
    <w:rsid w:val="00155142"/>
    <w:pPr>
      <w:tabs>
        <w:tab w:val="num" w:pos="720"/>
      </w:tabs>
      <w:ind w:left="720" w:hanging="720"/>
      <w:contextualSpacing/>
    </w:pPr>
  </w:style>
  <w:style w:type="paragraph" w:styleId="ListNumber2">
    <w:name w:val="List Number 2"/>
    <w:basedOn w:val="Normal"/>
    <w:uiPriority w:val="99"/>
    <w:semiHidden/>
    <w:unhideWhenUsed/>
    <w:rsid w:val="00155142"/>
    <w:pPr>
      <w:tabs>
        <w:tab w:val="num" w:pos="720"/>
      </w:tabs>
      <w:ind w:left="720" w:hanging="720"/>
      <w:contextualSpacing/>
    </w:pPr>
  </w:style>
  <w:style w:type="paragraph" w:styleId="ListNumber3">
    <w:name w:val="List Number 3"/>
    <w:basedOn w:val="Normal"/>
    <w:uiPriority w:val="99"/>
    <w:semiHidden/>
    <w:unhideWhenUsed/>
    <w:rsid w:val="00155142"/>
    <w:pPr>
      <w:tabs>
        <w:tab w:val="num" w:pos="720"/>
      </w:tabs>
      <w:ind w:left="720" w:hanging="720"/>
      <w:contextualSpacing/>
    </w:pPr>
  </w:style>
  <w:style w:type="paragraph" w:styleId="ListNumber4">
    <w:name w:val="List Number 4"/>
    <w:basedOn w:val="Normal"/>
    <w:uiPriority w:val="99"/>
    <w:semiHidden/>
    <w:unhideWhenUsed/>
    <w:rsid w:val="00155142"/>
    <w:pPr>
      <w:tabs>
        <w:tab w:val="num" w:pos="720"/>
      </w:tabs>
      <w:ind w:left="720" w:hanging="720"/>
      <w:contextualSpacing/>
    </w:pPr>
  </w:style>
  <w:style w:type="paragraph" w:styleId="ListNumber5">
    <w:name w:val="List Number 5"/>
    <w:basedOn w:val="Normal"/>
    <w:uiPriority w:val="99"/>
    <w:semiHidden/>
    <w:unhideWhenUsed/>
    <w:rsid w:val="00155142"/>
    <w:pPr>
      <w:tabs>
        <w:tab w:val="num" w:pos="720"/>
      </w:tabs>
      <w:ind w:left="720" w:hanging="720"/>
      <w:contextualSpacing/>
    </w:pPr>
  </w:style>
  <w:style w:type="paragraph" w:styleId="MacroText">
    <w:name w:val="macro"/>
    <w:link w:val="MacroTextChar"/>
    <w:uiPriority w:val="99"/>
    <w:semiHidden/>
    <w:unhideWhenUsed/>
    <w:rsid w:val="00155142"/>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en-US" w:eastAsia="en-US"/>
    </w:rPr>
  </w:style>
  <w:style w:type="character" w:customStyle="1" w:styleId="MacroTextChar">
    <w:name w:val="Macro Text Char"/>
    <w:basedOn w:val="DefaultParagraphFont"/>
    <w:link w:val="MacroText"/>
    <w:uiPriority w:val="99"/>
    <w:semiHidden/>
    <w:rsid w:val="00155142"/>
    <w:rPr>
      <w:rFonts w:ascii="Consolas" w:hAnsi="Consolas"/>
      <w:lang w:val="en-US" w:eastAsia="en-US"/>
    </w:rPr>
  </w:style>
  <w:style w:type="paragraph" w:styleId="MessageHeader">
    <w:name w:val="Message Header"/>
    <w:basedOn w:val="Normal"/>
    <w:link w:val="MessageHeaderChar"/>
    <w:uiPriority w:val="99"/>
    <w:semiHidden/>
    <w:unhideWhenUsed/>
    <w:rsid w:val="00155142"/>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55142"/>
    <w:rPr>
      <w:rFonts w:asciiTheme="majorHAnsi" w:eastAsiaTheme="majorEastAsia" w:hAnsiTheme="majorHAnsi" w:cstheme="majorBidi"/>
      <w:sz w:val="24"/>
      <w:szCs w:val="24"/>
      <w:shd w:val="pct20" w:color="auto" w:fill="auto"/>
      <w:lang w:val="en-US" w:eastAsia="en-US"/>
    </w:rPr>
  </w:style>
  <w:style w:type="paragraph" w:styleId="NoSpacing">
    <w:name w:val="No Spacing"/>
    <w:uiPriority w:val="1"/>
    <w:qFormat/>
    <w:rsid w:val="00155142"/>
    <w:rPr>
      <w:lang w:val="en-US" w:eastAsia="en-US"/>
    </w:rPr>
  </w:style>
  <w:style w:type="paragraph" w:styleId="NormalWeb">
    <w:name w:val="Normal (Web)"/>
    <w:basedOn w:val="Normal"/>
    <w:uiPriority w:val="99"/>
    <w:semiHidden/>
    <w:unhideWhenUsed/>
    <w:rsid w:val="00155142"/>
    <w:rPr>
      <w:rFonts w:ascii="Times New Roman" w:hAnsi="Times New Roman"/>
      <w:sz w:val="24"/>
      <w:szCs w:val="24"/>
    </w:rPr>
  </w:style>
  <w:style w:type="paragraph" w:styleId="NormalIndent">
    <w:name w:val="Normal Indent"/>
    <w:basedOn w:val="Normal"/>
    <w:uiPriority w:val="99"/>
    <w:semiHidden/>
    <w:unhideWhenUsed/>
    <w:rsid w:val="00155142"/>
    <w:pPr>
      <w:ind w:left="720"/>
    </w:pPr>
  </w:style>
  <w:style w:type="paragraph" w:styleId="NoteHeading">
    <w:name w:val="Note Heading"/>
    <w:basedOn w:val="Normal"/>
    <w:next w:val="Normal"/>
    <w:link w:val="NoteHeadingChar"/>
    <w:uiPriority w:val="99"/>
    <w:semiHidden/>
    <w:unhideWhenUsed/>
    <w:rsid w:val="00155142"/>
    <w:pPr>
      <w:spacing w:before="0" w:after="0" w:line="240" w:lineRule="auto"/>
    </w:pPr>
  </w:style>
  <w:style w:type="character" w:customStyle="1" w:styleId="NoteHeadingChar">
    <w:name w:val="Note Heading Char"/>
    <w:basedOn w:val="DefaultParagraphFont"/>
    <w:link w:val="NoteHeading"/>
    <w:uiPriority w:val="99"/>
    <w:semiHidden/>
    <w:rsid w:val="00155142"/>
    <w:rPr>
      <w:rFonts w:ascii="Arial" w:hAnsi="Arial"/>
      <w:lang w:val="en-US" w:eastAsia="en-US"/>
    </w:rPr>
  </w:style>
  <w:style w:type="paragraph" w:styleId="PlainText">
    <w:name w:val="Plain Text"/>
    <w:basedOn w:val="Normal"/>
    <w:link w:val="PlainTextChar"/>
    <w:uiPriority w:val="99"/>
    <w:semiHidden/>
    <w:unhideWhenUsed/>
    <w:rsid w:val="00155142"/>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55142"/>
    <w:rPr>
      <w:rFonts w:ascii="Consolas" w:hAnsi="Consolas"/>
      <w:sz w:val="21"/>
      <w:szCs w:val="21"/>
      <w:lang w:val="en-US" w:eastAsia="en-US"/>
    </w:rPr>
  </w:style>
  <w:style w:type="paragraph" w:styleId="Quote">
    <w:name w:val="Quote"/>
    <w:basedOn w:val="Normal"/>
    <w:next w:val="Normal"/>
    <w:link w:val="QuoteChar"/>
    <w:uiPriority w:val="29"/>
    <w:qFormat/>
    <w:rsid w:val="0015514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55142"/>
    <w:rPr>
      <w:rFonts w:ascii="Arial" w:hAnsi="Arial"/>
      <w:i/>
      <w:iCs/>
      <w:color w:val="404040" w:themeColor="text1" w:themeTint="BF"/>
      <w:lang w:val="en-US" w:eastAsia="en-US"/>
    </w:rPr>
  </w:style>
  <w:style w:type="paragraph" w:styleId="Salutation">
    <w:name w:val="Salutation"/>
    <w:basedOn w:val="Normal"/>
    <w:next w:val="Normal"/>
    <w:link w:val="SalutationChar"/>
    <w:uiPriority w:val="99"/>
    <w:semiHidden/>
    <w:unhideWhenUsed/>
    <w:rsid w:val="00155142"/>
  </w:style>
  <w:style w:type="character" w:customStyle="1" w:styleId="SalutationChar">
    <w:name w:val="Salutation Char"/>
    <w:basedOn w:val="DefaultParagraphFont"/>
    <w:link w:val="Salutation"/>
    <w:uiPriority w:val="99"/>
    <w:semiHidden/>
    <w:rsid w:val="00155142"/>
    <w:rPr>
      <w:rFonts w:ascii="Arial" w:hAnsi="Arial"/>
      <w:lang w:val="en-US" w:eastAsia="en-US"/>
    </w:rPr>
  </w:style>
  <w:style w:type="paragraph" w:styleId="Signature">
    <w:name w:val="Signature"/>
    <w:basedOn w:val="Normal"/>
    <w:link w:val="SignatureChar"/>
    <w:uiPriority w:val="99"/>
    <w:semiHidden/>
    <w:unhideWhenUsed/>
    <w:rsid w:val="00155142"/>
    <w:pPr>
      <w:spacing w:before="0" w:after="0" w:line="240" w:lineRule="auto"/>
      <w:ind w:left="4320"/>
    </w:pPr>
  </w:style>
  <w:style w:type="character" w:customStyle="1" w:styleId="SignatureChar">
    <w:name w:val="Signature Char"/>
    <w:basedOn w:val="DefaultParagraphFont"/>
    <w:link w:val="Signature"/>
    <w:uiPriority w:val="99"/>
    <w:semiHidden/>
    <w:rsid w:val="00155142"/>
    <w:rPr>
      <w:rFonts w:ascii="Arial" w:hAnsi="Arial"/>
      <w:lang w:val="en-US" w:eastAsia="en-US"/>
    </w:rPr>
  </w:style>
  <w:style w:type="paragraph" w:styleId="TableofAuthorities">
    <w:name w:val="table of authorities"/>
    <w:basedOn w:val="Normal"/>
    <w:next w:val="Normal"/>
    <w:uiPriority w:val="99"/>
    <w:semiHidden/>
    <w:unhideWhenUsed/>
    <w:rsid w:val="00155142"/>
    <w:pPr>
      <w:spacing w:after="0"/>
      <w:ind w:left="200" w:hanging="200"/>
    </w:pPr>
  </w:style>
  <w:style w:type="paragraph" w:styleId="TableofFigures">
    <w:name w:val="table of figures"/>
    <w:basedOn w:val="Normal"/>
    <w:next w:val="Normal"/>
    <w:uiPriority w:val="99"/>
    <w:semiHidden/>
    <w:unhideWhenUsed/>
    <w:rsid w:val="00155142"/>
    <w:pPr>
      <w:spacing w:after="0"/>
    </w:pPr>
  </w:style>
  <w:style w:type="paragraph" w:styleId="TOAHeading">
    <w:name w:val="toa heading"/>
    <w:basedOn w:val="Normal"/>
    <w:next w:val="Normal"/>
    <w:uiPriority w:val="99"/>
    <w:semiHidden/>
    <w:unhideWhenUsed/>
    <w:rsid w:val="00155142"/>
    <w:pPr>
      <w:spacing w:before="120"/>
    </w:pPr>
    <w:rPr>
      <w:rFonts w:asciiTheme="majorHAnsi" w:eastAsiaTheme="majorEastAsia" w:hAnsiTheme="majorHAnsi" w:cstheme="majorBidi"/>
      <w:b/>
      <w:bCs/>
      <w:sz w:val="24"/>
      <w:szCs w:val="24"/>
    </w:rPr>
  </w:style>
  <w:style w:type="paragraph" w:customStyle="1" w:styleId="footnotedescription">
    <w:name w:val="footnote description"/>
    <w:next w:val="Normal"/>
    <w:link w:val="footnotedescriptionChar"/>
    <w:hidden/>
    <w:rsid w:val="00180301"/>
    <w:pPr>
      <w:spacing w:line="259" w:lineRule="auto"/>
    </w:pPr>
    <w:rPr>
      <w:color w:val="000000"/>
      <w:kern w:val="2"/>
      <w:szCs w:val="24"/>
      <w:lang w:eastAsia="en-GB"/>
    </w:rPr>
  </w:style>
  <w:style w:type="character" w:customStyle="1" w:styleId="footnotedescriptionChar">
    <w:name w:val="footnote description Char"/>
    <w:link w:val="footnotedescription"/>
    <w:rsid w:val="00180301"/>
    <w:rPr>
      <w:rFonts w:ascii="Arial" w:eastAsia="Arial" w:hAnsi="Arial" w:cs="Arial"/>
      <w:color w:val="000000"/>
      <w:kern w:val="2"/>
      <w:szCs w:val="24"/>
      <w:lang w:eastAsia="en-GB"/>
    </w:rPr>
  </w:style>
  <w:style w:type="character" w:customStyle="1" w:styleId="footnotemark">
    <w:name w:val="footnote mark"/>
    <w:hidden/>
    <w:rsid w:val="00180301"/>
    <w:rPr>
      <w:rFonts w:ascii="Calibri" w:eastAsia="Calibri" w:hAnsi="Calibri" w:cs="Calibri"/>
      <w:color w:val="000000"/>
      <w:sz w:val="20"/>
      <w:vertAlign w:val="superscript"/>
    </w:rPr>
  </w:style>
  <w:style w:type="paragraph" w:styleId="Subtitle">
    <w:name w:val="Subtitle"/>
    <w:basedOn w:val="Normal"/>
    <w:next w:val="Normal"/>
    <w:link w:val="SubtitleChar"/>
    <w:uiPriority w:val="11"/>
    <w:qFormat/>
    <w:pPr>
      <w:jc w:val="center"/>
    </w:pPr>
    <w:rPr>
      <w:rFonts w:ascii="Calibri" w:eastAsia="Calibri" w:hAnsi="Calibri" w:cs="Calibri"/>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l+wTHhfj7WN9lhN+CByrsAfnrw==">CgMxLjAyDmguaDE2bzM4ZWdmZ3AxOAByITE1bzFFeXRUdEpIc1NtTnVCMExjWXRjeTYzMEZBaS11dw==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4467</Words>
  <Characters>25466</Characters>
  <Application>Microsoft Office Word</Application>
  <DocSecurity>0</DocSecurity>
  <Lines>212</Lines>
  <Paragraphs>59</Paragraphs>
  <ScaleCrop>false</ScaleCrop>
  <Company/>
  <LinksUpToDate>false</LinksUpToDate>
  <CharactersWithSpaces>29874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Valerie Sng</dc:creator>
  <cp:lastModifiedBy>Li Shi-En, Lisa</cp:lastModifiedBy>
  <cp:revision>2</cp:revision>
  <dcterms:created xsi:type="dcterms:W3CDTF">2026-03-29T13:55:00Z</dcterms:created>
  <dcterms:modified xsi:type="dcterms:W3CDTF">2026-04-25T02:40:00Z</dcterms:modified>
</cp:coreProperties>
</file>